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  <w:bookmarkStart w:id="0" w:name="_GoBack"/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Pr="00D431C9" w:rsidRDefault="00D431C9" w:rsidP="00D431C9">
      <w:pPr>
        <w:shd w:val="clear" w:color="auto" w:fill="FFFFFF"/>
        <w:spacing w:line="360" w:lineRule="auto"/>
        <w:jc w:val="center"/>
        <w:rPr>
          <w:b/>
          <w:bCs/>
          <w:iCs/>
          <w:color w:val="FF0000"/>
          <w:sz w:val="48"/>
          <w:szCs w:val="48"/>
        </w:rPr>
      </w:pPr>
      <w:r w:rsidRPr="00D431C9">
        <w:rPr>
          <w:b/>
          <w:bCs/>
          <w:iCs/>
          <w:sz w:val="48"/>
          <w:szCs w:val="48"/>
        </w:rPr>
        <w:t xml:space="preserve">РАЗДЕЛ </w:t>
      </w:r>
      <w:r w:rsidRPr="00D431C9">
        <w:rPr>
          <w:b/>
          <w:bCs/>
          <w:iCs/>
          <w:sz w:val="48"/>
          <w:szCs w:val="48"/>
          <w:lang w:val="en-US"/>
        </w:rPr>
        <w:t>IV</w:t>
      </w:r>
    </w:p>
    <w:p w:rsidR="00D431C9" w:rsidRPr="00D431C9" w:rsidRDefault="00D431C9" w:rsidP="00D431C9">
      <w:pPr>
        <w:jc w:val="center"/>
        <w:rPr>
          <w:b/>
          <w:bCs/>
          <w:iCs/>
          <w:sz w:val="48"/>
          <w:szCs w:val="48"/>
        </w:rPr>
      </w:pPr>
      <w:r w:rsidRPr="00D431C9">
        <w:rPr>
          <w:b/>
          <w:bCs/>
          <w:iCs/>
          <w:sz w:val="48"/>
          <w:szCs w:val="48"/>
        </w:rPr>
        <w:t xml:space="preserve">МЕТОДИКА ЗА </w:t>
      </w:r>
    </w:p>
    <w:p w:rsidR="00D431C9" w:rsidRPr="00D431C9" w:rsidRDefault="00D431C9" w:rsidP="00D431C9">
      <w:pPr>
        <w:jc w:val="center"/>
        <w:rPr>
          <w:b/>
          <w:bCs/>
          <w:iCs/>
          <w:sz w:val="48"/>
          <w:szCs w:val="48"/>
          <w:lang w:val="ru-RU"/>
        </w:rPr>
      </w:pPr>
      <w:r w:rsidRPr="00D431C9">
        <w:rPr>
          <w:b/>
          <w:bCs/>
          <w:iCs/>
          <w:sz w:val="48"/>
          <w:szCs w:val="48"/>
        </w:rPr>
        <w:t xml:space="preserve">ОЦЕНКА </w:t>
      </w: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D431C9" w:rsidRDefault="00D431C9" w:rsidP="00EB3C9F">
      <w:pPr>
        <w:jc w:val="center"/>
        <w:rPr>
          <w:b/>
          <w:bCs/>
          <w:caps/>
          <w:sz w:val="36"/>
          <w:szCs w:val="36"/>
          <w:lang w:val="en-US"/>
        </w:rPr>
      </w:pPr>
    </w:p>
    <w:p w:rsidR="005C0D95" w:rsidRPr="00FC2F57" w:rsidRDefault="004F529D" w:rsidP="00EB3C9F">
      <w:pPr>
        <w:jc w:val="center"/>
        <w:rPr>
          <w:b/>
          <w:bCs/>
          <w:caps/>
          <w:sz w:val="36"/>
          <w:szCs w:val="36"/>
        </w:rPr>
      </w:pPr>
      <w:r w:rsidRPr="00FC2F57">
        <w:rPr>
          <w:b/>
          <w:bCs/>
          <w:caps/>
          <w:sz w:val="36"/>
          <w:szCs w:val="36"/>
        </w:rPr>
        <w:lastRenderedPageBreak/>
        <w:t>Методика за определяне на</w:t>
      </w:r>
    </w:p>
    <w:p w:rsidR="00E9617F" w:rsidRPr="00987DC8" w:rsidRDefault="004F529D" w:rsidP="00C04EC1">
      <w:pPr>
        <w:pStyle w:val="3"/>
        <w:ind w:firstLine="0"/>
        <w:jc w:val="center"/>
        <w:rPr>
          <w:b/>
          <w:bCs/>
          <w:caps/>
          <w:sz w:val="36"/>
          <w:szCs w:val="36"/>
          <w:lang w:val="ru-RU"/>
        </w:rPr>
      </w:pPr>
      <w:r w:rsidRPr="00FC2F57">
        <w:rPr>
          <w:b/>
          <w:bCs/>
          <w:caps/>
          <w:sz w:val="36"/>
          <w:szCs w:val="36"/>
          <w:lang w:val="bg-BG"/>
        </w:rPr>
        <w:t>комплексна оценка на оферта</w:t>
      </w:r>
    </w:p>
    <w:p w:rsidR="00C04EC1" w:rsidRPr="00987DC8" w:rsidRDefault="00C04EC1" w:rsidP="00C04EC1">
      <w:pPr>
        <w:pStyle w:val="3"/>
        <w:ind w:firstLine="0"/>
        <w:jc w:val="center"/>
        <w:rPr>
          <w:b/>
          <w:bCs/>
          <w:caps/>
          <w:sz w:val="36"/>
          <w:szCs w:val="3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C04EC1" w:rsidRPr="00DD23C8" w:rsidTr="004021B1">
        <w:tc>
          <w:tcPr>
            <w:tcW w:w="2160" w:type="dxa"/>
            <w:shd w:val="clear" w:color="auto" w:fill="auto"/>
          </w:tcPr>
          <w:p w:rsidR="00C04EC1" w:rsidRPr="00DE6970" w:rsidRDefault="00C04EC1" w:rsidP="00DD23C8">
            <w:pPr>
              <w:spacing w:line="276" w:lineRule="auto"/>
            </w:pPr>
            <w:r w:rsidRPr="00DE6970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7200" w:type="dxa"/>
            <w:shd w:val="clear" w:color="auto" w:fill="auto"/>
          </w:tcPr>
          <w:p w:rsidR="00DE6970" w:rsidRPr="00D431C9" w:rsidRDefault="00DD23C8" w:rsidP="00DE6970">
            <w:pPr>
              <w:tabs>
                <w:tab w:val="left" w:pos="9180"/>
              </w:tabs>
              <w:spacing w:line="240" w:lineRule="exact"/>
              <w:ind w:right="80"/>
              <w:jc w:val="both"/>
              <w:rPr>
                <w:b/>
                <w:lang w:val="ru-RU"/>
              </w:rPr>
            </w:pPr>
            <w:r w:rsidRPr="0058112E">
              <w:rPr>
                <w:b/>
              </w:rPr>
              <w:t>ДОСТАВКА НА ЕЛЕКТРИЧЕСКА ЕНЕРГИЯ И ИЗБОР НА КООРДИНАТОР НА БАЛАНСИРАЩА ГРУПА ЗА ОБЕКТИ НА ОБЩИНА ШАБЛА</w:t>
            </w:r>
            <w:r w:rsidR="00DE6970" w:rsidRPr="0058112E">
              <w:rPr>
                <w:b/>
                <w:lang w:val="ru-RU"/>
              </w:rPr>
              <w:t xml:space="preserve"> </w:t>
            </w:r>
          </w:p>
          <w:p w:rsidR="00DE6970" w:rsidRPr="0058112E" w:rsidRDefault="00DE6970" w:rsidP="00DE6970">
            <w:pPr>
              <w:tabs>
                <w:tab w:val="left" w:pos="9180"/>
              </w:tabs>
              <w:spacing w:line="240" w:lineRule="exact"/>
              <w:ind w:right="80"/>
              <w:jc w:val="both"/>
              <w:rPr>
                <w:rFonts w:eastAsia="Arial Unicode MS"/>
                <w:b/>
                <w:bCs/>
                <w:lang w:val="ru-RU" w:eastAsia="bg-BG" w:bidi="bg-BG"/>
              </w:rPr>
            </w:pPr>
            <w:r w:rsidRPr="0058112E">
              <w:rPr>
                <w:rFonts w:eastAsia="Arial Unicode MS"/>
                <w:b/>
                <w:bCs/>
                <w:lang w:eastAsia="bg-BG" w:bidi="bg-BG"/>
              </w:rPr>
              <w:t>ОБОСБЕНА НА ПОЗИЦИИ</w:t>
            </w:r>
            <w:r w:rsidR="00205E74" w:rsidRPr="00D431C9">
              <w:rPr>
                <w:rFonts w:eastAsia="Arial Unicode MS"/>
                <w:b/>
                <w:bCs/>
                <w:lang w:val="ru-RU" w:eastAsia="bg-BG" w:bidi="bg-BG"/>
              </w:rPr>
              <w:t>,</w:t>
            </w:r>
            <w:r w:rsidRPr="0058112E">
              <w:rPr>
                <w:rFonts w:eastAsia="Arial Unicode MS"/>
                <w:b/>
                <w:bCs/>
                <w:lang w:eastAsia="bg-BG" w:bidi="bg-BG"/>
              </w:rPr>
              <w:t xml:space="preserve"> КАКТО СЛЕДВА: </w:t>
            </w:r>
          </w:p>
          <w:p w:rsidR="00DE6970" w:rsidRPr="0058112E" w:rsidRDefault="00DE6970" w:rsidP="00DE6970">
            <w:pPr>
              <w:widowControl w:val="0"/>
              <w:tabs>
                <w:tab w:val="left" w:pos="9180"/>
              </w:tabs>
              <w:spacing w:line="240" w:lineRule="exact"/>
              <w:ind w:right="80"/>
              <w:jc w:val="both"/>
              <w:rPr>
                <w:rFonts w:eastAsia="Arial Unicode MS"/>
                <w:b/>
                <w:bCs/>
                <w:lang w:val="ru-RU" w:eastAsia="bg-BG" w:bidi="bg-BG"/>
              </w:rPr>
            </w:pPr>
            <w:r w:rsidRPr="0058112E">
              <w:rPr>
                <w:rFonts w:eastAsia="Arial Unicode MS"/>
                <w:b/>
                <w:bCs/>
                <w:u w:val="single"/>
                <w:lang w:eastAsia="bg-BG" w:bidi="bg-BG"/>
              </w:rPr>
              <w:t>ОБОСОБЕНА ПОЗИЦИЯ №1:</w:t>
            </w:r>
            <w:r w:rsidRPr="0058112E">
              <w:rPr>
                <w:rFonts w:eastAsia="Arial Unicode MS"/>
                <w:b/>
                <w:bCs/>
                <w:lang w:eastAsia="bg-BG" w:bidi="bg-BG"/>
              </w:rPr>
              <w:t xml:space="preserve"> „ОБЕКТИ НА ОБЩИНА ШАБЛА ИЗПОЛВАЩИ ДНЕВНА. НОЩНА И ЕДНОТАРИФНА АКТИВНА ЕЛЕКТРОЕНЕРГИЯ“;</w:t>
            </w:r>
          </w:p>
          <w:p w:rsidR="00C04EC1" w:rsidRPr="0058112E" w:rsidRDefault="00DE6970" w:rsidP="00DE6970">
            <w:pPr>
              <w:widowControl w:val="0"/>
              <w:tabs>
                <w:tab w:val="left" w:pos="9180"/>
              </w:tabs>
              <w:spacing w:line="240" w:lineRule="exact"/>
              <w:ind w:right="80"/>
              <w:jc w:val="both"/>
              <w:rPr>
                <w:rFonts w:eastAsia="Arial Unicode MS"/>
                <w:b/>
                <w:bCs/>
                <w:sz w:val="20"/>
                <w:szCs w:val="20"/>
                <w:lang w:val="ru-RU" w:eastAsia="bg-BG" w:bidi="bg-BG"/>
              </w:rPr>
            </w:pPr>
            <w:r w:rsidRPr="0058112E">
              <w:rPr>
                <w:rFonts w:eastAsia="Arial Unicode MS"/>
                <w:b/>
                <w:bCs/>
                <w:u w:val="single"/>
                <w:lang w:eastAsia="bg-BG" w:bidi="bg-BG"/>
              </w:rPr>
              <w:t>ОБОСОБЕНА</w:t>
            </w:r>
            <w:r w:rsidRPr="0058112E">
              <w:rPr>
                <w:rFonts w:eastAsia="Arial Unicode MS"/>
                <w:b/>
                <w:bCs/>
                <w:u w:val="single"/>
                <w:lang w:val="ru-RU" w:eastAsia="bg-BG" w:bidi="bg-BG"/>
              </w:rPr>
              <w:t xml:space="preserve"> </w:t>
            </w:r>
            <w:r w:rsidRPr="0058112E">
              <w:rPr>
                <w:rFonts w:eastAsia="Arial Unicode MS"/>
                <w:b/>
                <w:bCs/>
                <w:u w:val="single"/>
                <w:lang w:eastAsia="bg-BG" w:bidi="bg-BG"/>
              </w:rPr>
              <w:t>ПОЗИЦИЯ №2:</w:t>
            </w:r>
            <w:r w:rsidRPr="0058112E">
              <w:rPr>
                <w:rFonts w:eastAsia="Arial Unicode MS"/>
                <w:b/>
                <w:bCs/>
                <w:lang w:eastAsia="bg-BG" w:bidi="bg-BG"/>
              </w:rPr>
              <w:t xml:space="preserve"> </w:t>
            </w:r>
            <w:r w:rsidRPr="0058112E">
              <w:rPr>
                <w:rFonts w:eastAsia="Arial Unicode MS"/>
                <w:b/>
                <w:bCs/>
                <w:lang w:val="ru-RU" w:eastAsia="bg-BG" w:bidi="bg-BG"/>
              </w:rPr>
              <w:t>“</w:t>
            </w:r>
            <w:r w:rsidRPr="0058112E">
              <w:rPr>
                <w:rFonts w:eastAsia="Arial Unicode MS"/>
                <w:b/>
                <w:bCs/>
                <w:lang w:eastAsia="bg-BG" w:bidi="bg-BG"/>
              </w:rPr>
              <w:t>ОБЕКТИ НА ОБЩИНА ШАБЛА ИЗПОЛЗВАЩИ ДНЕВНА И НОЩНА АКТИВНА ЕЛЕКТРОЕНЕРГИЯ – УЛИЧНО ОСВЕТЛЕНИЕ“</w:t>
            </w:r>
          </w:p>
        </w:tc>
      </w:tr>
    </w:tbl>
    <w:p w:rsidR="00942F2B" w:rsidRPr="00DD23C8" w:rsidRDefault="00942F2B" w:rsidP="00DD23C8">
      <w:pPr>
        <w:spacing w:line="276" w:lineRule="auto"/>
        <w:ind w:left="-180" w:right="-110"/>
        <w:jc w:val="center"/>
        <w:rPr>
          <w:b/>
          <w:sz w:val="28"/>
          <w:szCs w:val="28"/>
          <w:lang w:val="ru-RU"/>
        </w:rPr>
      </w:pPr>
    </w:p>
    <w:p w:rsidR="00942F2B" w:rsidRPr="00DD23C8" w:rsidRDefault="00942F2B" w:rsidP="00DD23C8">
      <w:pPr>
        <w:spacing w:line="276" w:lineRule="auto"/>
        <w:ind w:left="-180" w:right="-110"/>
        <w:jc w:val="center"/>
        <w:rPr>
          <w:b/>
        </w:rPr>
      </w:pPr>
      <w:r w:rsidRPr="00DD23C8">
        <w:rPr>
          <w:b/>
        </w:rPr>
        <w:t xml:space="preserve">Критерият за оценка на офертите е </w:t>
      </w:r>
      <w:r w:rsidRPr="00DD23C8">
        <w:rPr>
          <w:b/>
          <w:u w:val="single"/>
        </w:rPr>
        <w:t>икономически най-изгодна оферта</w:t>
      </w:r>
      <w:r w:rsidRPr="00DD23C8">
        <w:rPr>
          <w:b/>
        </w:rPr>
        <w:t>, съгласно чл. 37, ал. 1, т. 2 от ЗОП</w:t>
      </w:r>
    </w:p>
    <w:p w:rsidR="00D82E13" w:rsidRPr="00DD23C8" w:rsidRDefault="00D82E13" w:rsidP="00DD23C8">
      <w:pPr>
        <w:pStyle w:val="2"/>
        <w:spacing w:line="276" w:lineRule="auto"/>
        <w:rPr>
          <w:lang w:val="ru-RU"/>
        </w:rPr>
      </w:pPr>
    </w:p>
    <w:p w:rsidR="00744204" w:rsidRPr="00DD23C8" w:rsidRDefault="00EB3C9F" w:rsidP="00DD23C8">
      <w:pPr>
        <w:pStyle w:val="2"/>
        <w:spacing w:line="276" w:lineRule="auto"/>
        <w:ind w:left="120" w:right="190"/>
        <w:rPr>
          <w:bCs/>
          <w:i w:val="0"/>
        </w:rPr>
      </w:pPr>
      <w:r w:rsidRPr="00DD23C8">
        <w:rPr>
          <w:b/>
          <w:bCs/>
          <w:i w:val="0"/>
          <w:lang w:val="en-US"/>
        </w:rPr>
        <w:t>I</w:t>
      </w:r>
      <w:r w:rsidR="00744204" w:rsidRPr="00DD23C8">
        <w:rPr>
          <w:b/>
          <w:bCs/>
          <w:i w:val="0"/>
        </w:rPr>
        <w:t>. ТОЧНИ УКАЗАНИЯ ЗА ОПРЕДЕЛЯНЕ НА КОМПЛЕКСНАТА ОЦЕНКА НА</w:t>
      </w:r>
      <w:r w:rsidR="004577A7" w:rsidRPr="00DE6970">
        <w:rPr>
          <w:b/>
          <w:bCs/>
          <w:i w:val="0"/>
          <w:lang w:val="ru-RU"/>
        </w:rPr>
        <w:t xml:space="preserve"> </w:t>
      </w:r>
      <w:r w:rsidR="00744204" w:rsidRPr="00DD23C8">
        <w:rPr>
          <w:b/>
          <w:bCs/>
          <w:i w:val="0"/>
        </w:rPr>
        <w:t>ОФЕРТАТА</w:t>
      </w:r>
      <w:r w:rsidR="000711DF" w:rsidRPr="00DD23C8">
        <w:rPr>
          <w:b/>
          <w:bCs/>
          <w:i w:val="0"/>
        </w:rPr>
        <w:t xml:space="preserve"> </w:t>
      </w:r>
    </w:p>
    <w:p w:rsidR="00744204" w:rsidRPr="00DD23C8" w:rsidRDefault="00744204" w:rsidP="00DD23C8">
      <w:pPr>
        <w:pStyle w:val="2"/>
        <w:spacing w:line="276" w:lineRule="auto"/>
        <w:ind w:right="190" w:firstLine="360"/>
        <w:rPr>
          <w:bCs/>
          <w:i w:val="0"/>
        </w:rPr>
      </w:pPr>
      <w:r w:rsidRPr="00DD23C8">
        <w:rPr>
          <w:bCs/>
          <w:i w:val="0"/>
        </w:rPr>
        <w:t>Всяка оферта отговаряща на изискванията за административно съответствие и допустимост се оценява по настоящата методика и получава КОМПЛЕКСНА ОЦЕНКА (КО), с която участва в крайното класиране.</w:t>
      </w:r>
    </w:p>
    <w:p w:rsidR="00744204" w:rsidRPr="00DD23C8" w:rsidRDefault="00744204" w:rsidP="00DD23C8">
      <w:pPr>
        <w:pStyle w:val="20"/>
        <w:tabs>
          <w:tab w:val="left" w:pos="709"/>
          <w:tab w:val="left" w:pos="993"/>
        </w:tabs>
        <w:spacing w:line="276" w:lineRule="auto"/>
        <w:ind w:right="190" w:firstLine="360"/>
        <w:rPr>
          <w:szCs w:val="24"/>
        </w:rPr>
      </w:pPr>
      <w:r w:rsidRPr="00DD23C8">
        <w:rPr>
          <w:szCs w:val="24"/>
        </w:rPr>
        <w:t>При оценката на офертите първо се разглежда техническата част, след това финансовата и накрая двете оценки (всяка със своята тежест) се обединяват в една обща комплексна оценка по следната формула:</w:t>
      </w:r>
    </w:p>
    <w:p w:rsidR="00744204" w:rsidRPr="00DD23C8" w:rsidRDefault="00744204" w:rsidP="00DD23C8">
      <w:pPr>
        <w:pStyle w:val="a4"/>
        <w:tabs>
          <w:tab w:val="left" w:pos="709"/>
          <w:tab w:val="left" w:pos="993"/>
        </w:tabs>
        <w:spacing w:line="276" w:lineRule="auto"/>
        <w:ind w:firstLine="360"/>
        <w:jc w:val="both"/>
        <w:rPr>
          <w:b/>
          <w:sz w:val="24"/>
          <w:szCs w:val="24"/>
          <w:lang w:val="ru-RU"/>
        </w:rPr>
      </w:pPr>
      <w:r w:rsidRPr="00DD23C8">
        <w:rPr>
          <w:b/>
          <w:sz w:val="24"/>
          <w:szCs w:val="24"/>
          <w:lang w:val="ru-RU"/>
        </w:rPr>
        <w:t xml:space="preserve">КО = ТО + </w:t>
      </w:r>
      <w:r w:rsidR="00A23CAE" w:rsidRPr="00DD23C8">
        <w:rPr>
          <w:b/>
          <w:sz w:val="24"/>
          <w:szCs w:val="24"/>
          <w:lang w:val="bg-BG"/>
        </w:rPr>
        <w:t>Ф</w:t>
      </w:r>
      <w:r w:rsidRPr="00DD23C8">
        <w:rPr>
          <w:b/>
          <w:sz w:val="24"/>
          <w:szCs w:val="24"/>
          <w:lang w:val="ru-RU"/>
        </w:rPr>
        <w:t xml:space="preserve">О, </w:t>
      </w:r>
    </w:p>
    <w:p w:rsidR="00744204" w:rsidRPr="00DD23C8" w:rsidRDefault="00744204" w:rsidP="00DD23C8">
      <w:pPr>
        <w:pStyle w:val="a4"/>
        <w:tabs>
          <w:tab w:val="left" w:pos="709"/>
          <w:tab w:val="left" w:pos="993"/>
        </w:tabs>
        <w:spacing w:line="276" w:lineRule="auto"/>
        <w:ind w:firstLine="360"/>
        <w:jc w:val="both"/>
        <w:rPr>
          <w:b/>
          <w:sz w:val="24"/>
          <w:szCs w:val="24"/>
          <w:lang w:val="ru-RU"/>
        </w:rPr>
      </w:pPr>
      <w:r w:rsidRPr="00DD23C8">
        <w:rPr>
          <w:sz w:val="24"/>
          <w:szCs w:val="24"/>
          <w:lang w:val="ru-RU"/>
        </w:rPr>
        <w:t>където:</w:t>
      </w:r>
    </w:p>
    <w:p w:rsidR="00744204" w:rsidRPr="00DD23C8" w:rsidRDefault="00744204" w:rsidP="00DD23C8">
      <w:pPr>
        <w:tabs>
          <w:tab w:val="left" w:pos="709"/>
          <w:tab w:val="left" w:pos="993"/>
        </w:tabs>
        <w:spacing w:line="276" w:lineRule="auto"/>
        <w:ind w:firstLine="360"/>
        <w:jc w:val="both"/>
      </w:pPr>
      <w:r w:rsidRPr="00DD23C8">
        <w:rPr>
          <w:b/>
        </w:rPr>
        <w:t>КО</w:t>
      </w:r>
      <w:r w:rsidRPr="00DD23C8">
        <w:t xml:space="preserve">     – комплексна обобщена оценка на оценяваната оферта,</w:t>
      </w:r>
    </w:p>
    <w:p w:rsidR="00744204" w:rsidRPr="00DD23C8" w:rsidRDefault="00744204" w:rsidP="00DD23C8">
      <w:pPr>
        <w:tabs>
          <w:tab w:val="left" w:pos="709"/>
          <w:tab w:val="left" w:pos="993"/>
        </w:tabs>
        <w:spacing w:line="276" w:lineRule="auto"/>
        <w:ind w:firstLine="360"/>
        <w:jc w:val="both"/>
      </w:pPr>
      <w:r w:rsidRPr="00DD23C8">
        <w:rPr>
          <w:b/>
        </w:rPr>
        <w:t>ТО</w:t>
      </w:r>
      <w:r w:rsidRPr="00DD23C8">
        <w:t xml:space="preserve">     – техническата оценка на оценяваната оферта,</w:t>
      </w:r>
    </w:p>
    <w:p w:rsidR="00744204" w:rsidRPr="00DD23C8" w:rsidRDefault="00A23CAE" w:rsidP="00DD23C8">
      <w:pPr>
        <w:tabs>
          <w:tab w:val="left" w:pos="709"/>
          <w:tab w:val="left" w:pos="993"/>
        </w:tabs>
        <w:spacing w:line="276" w:lineRule="auto"/>
        <w:ind w:firstLine="360"/>
        <w:jc w:val="both"/>
      </w:pPr>
      <w:r w:rsidRPr="00DD23C8">
        <w:rPr>
          <w:b/>
        </w:rPr>
        <w:t>Ф</w:t>
      </w:r>
      <w:r w:rsidR="00744204" w:rsidRPr="00DD23C8">
        <w:rPr>
          <w:b/>
        </w:rPr>
        <w:t>О</w:t>
      </w:r>
      <w:r w:rsidR="00744204" w:rsidRPr="00DD23C8">
        <w:t xml:space="preserve">    – финансовата оценка на оценяваната оферта.</w:t>
      </w:r>
    </w:p>
    <w:p w:rsidR="00AA3CCE" w:rsidRPr="00DD23C8" w:rsidRDefault="00AA3CCE" w:rsidP="00DD23C8">
      <w:pPr>
        <w:tabs>
          <w:tab w:val="left" w:pos="709"/>
          <w:tab w:val="left" w:pos="993"/>
        </w:tabs>
        <w:spacing w:line="276" w:lineRule="auto"/>
        <w:ind w:firstLine="360"/>
        <w:jc w:val="both"/>
        <w:rPr>
          <w:b/>
          <w:u w:val="single"/>
          <w:lang w:val="ru-RU"/>
        </w:rPr>
      </w:pPr>
    </w:p>
    <w:p w:rsidR="00744204" w:rsidRDefault="00744204" w:rsidP="00DE6970">
      <w:pPr>
        <w:tabs>
          <w:tab w:val="left" w:pos="709"/>
          <w:tab w:val="left" w:pos="993"/>
        </w:tabs>
        <w:spacing w:line="276" w:lineRule="auto"/>
        <w:ind w:firstLine="360"/>
        <w:jc w:val="both"/>
        <w:rPr>
          <w:b/>
        </w:rPr>
      </w:pPr>
      <w:r w:rsidRPr="00DD23C8">
        <w:rPr>
          <w:b/>
          <w:u w:val="single"/>
        </w:rPr>
        <w:t xml:space="preserve">Комплексната оценка съдържа максимален брой </w:t>
      </w:r>
      <w:r w:rsidRPr="00DD23C8">
        <w:rPr>
          <w:b/>
          <w:u w:val="single"/>
          <w:lang w:val="ru-RU"/>
        </w:rPr>
        <w:t>10</w:t>
      </w:r>
      <w:r w:rsidRPr="00DD23C8">
        <w:rPr>
          <w:b/>
          <w:u w:val="single"/>
        </w:rPr>
        <w:t>0 точки</w:t>
      </w:r>
      <w:r w:rsidRPr="00DD23C8">
        <w:rPr>
          <w:b/>
        </w:rPr>
        <w:tab/>
      </w:r>
    </w:p>
    <w:p w:rsidR="00DE6970" w:rsidRPr="00DE6970" w:rsidRDefault="00DE6970" w:rsidP="00DE6970">
      <w:pPr>
        <w:tabs>
          <w:tab w:val="left" w:pos="709"/>
          <w:tab w:val="left" w:pos="993"/>
        </w:tabs>
        <w:spacing w:line="276" w:lineRule="auto"/>
        <w:ind w:firstLine="360"/>
        <w:jc w:val="both"/>
        <w:rPr>
          <w:b/>
          <w:u w:val="single"/>
        </w:rPr>
      </w:pPr>
    </w:p>
    <w:p w:rsidR="00744204" w:rsidRPr="00DD23C8" w:rsidRDefault="00EB3C9F" w:rsidP="00DD23C8">
      <w:pPr>
        <w:pStyle w:val="2"/>
        <w:spacing w:line="276" w:lineRule="auto"/>
        <w:rPr>
          <w:b/>
          <w:i w:val="0"/>
          <w:iCs w:val="0"/>
        </w:rPr>
      </w:pPr>
      <w:r w:rsidRPr="00DD23C8">
        <w:rPr>
          <w:b/>
          <w:i w:val="0"/>
          <w:iCs w:val="0"/>
        </w:rPr>
        <w:t>1</w:t>
      </w:r>
      <w:r w:rsidR="00744204" w:rsidRPr="00DD23C8">
        <w:rPr>
          <w:b/>
          <w:i w:val="0"/>
          <w:iCs w:val="0"/>
        </w:rPr>
        <w:t xml:space="preserve">. ОТНОСИТЕЛНАТА ТЕЖЕСТ НА ВСЯКА ЕДНА СЪСТАВНА ОЦЕНКА В ОБЩАТА КОМПЛЕКСНА ОЦЕНКА ИМА СЛЕДНОТО ИЗРАЖЕНИЕ: </w:t>
      </w:r>
    </w:p>
    <w:p w:rsidR="00744204" w:rsidRPr="00DD23C8" w:rsidRDefault="00744204" w:rsidP="00DD23C8">
      <w:pPr>
        <w:pStyle w:val="2"/>
        <w:spacing w:line="276" w:lineRule="auto"/>
        <w:rPr>
          <w:i w:val="0"/>
          <w:iCs w:val="0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046"/>
        <w:gridCol w:w="4080"/>
      </w:tblGrid>
      <w:tr w:rsidR="00744204" w:rsidRPr="00DD23C8">
        <w:tc>
          <w:tcPr>
            <w:tcW w:w="754" w:type="dxa"/>
          </w:tcPr>
          <w:p w:rsidR="00744204" w:rsidRPr="00DD23C8" w:rsidRDefault="00744204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DD23C8">
              <w:rPr>
                <w:b/>
                <w:bCs/>
                <w:szCs w:val="24"/>
              </w:rPr>
              <w:t>№</w:t>
            </w:r>
          </w:p>
        </w:tc>
        <w:tc>
          <w:tcPr>
            <w:tcW w:w="4046" w:type="dxa"/>
          </w:tcPr>
          <w:p w:rsidR="00744204" w:rsidRPr="00DD23C8" w:rsidRDefault="00744204" w:rsidP="00DD23C8">
            <w:pPr>
              <w:pStyle w:val="20"/>
              <w:tabs>
                <w:tab w:val="left" w:pos="0"/>
              </w:tabs>
              <w:spacing w:line="276" w:lineRule="auto"/>
              <w:ind w:right="-108" w:firstLine="0"/>
              <w:jc w:val="center"/>
              <w:rPr>
                <w:b/>
                <w:bCs/>
                <w:szCs w:val="24"/>
              </w:rPr>
            </w:pPr>
            <w:r w:rsidRPr="00DD23C8">
              <w:rPr>
                <w:b/>
                <w:bCs/>
                <w:szCs w:val="24"/>
              </w:rPr>
              <w:t>НАИМЕНОВАНИЕ НА ОЦЕНКИТЕ</w:t>
            </w:r>
          </w:p>
        </w:tc>
        <w:tc>
          <w:tcPr>
            <w:tcW w:w="4080" w:type="dxa"/>
          </w:tcPr>
          <w:p w:rsidR="00744204" w:rsidRPr="00DD23C8" w:rsidRDefault="00744204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DD23C8">
              <w:rPr>
                <w:b/>
                <w:bCs/>
                <w:szCs w:val="24"/>
              </w:rPr>
              <w:t>Тежест на съставните оценки в общата КО в %</w:t>
            </w:r>
          </w:p>
        </w:tc>
      </w:tr>
      <w:tr w:rsidR="00744204" w:rsidRPr="00DD23C8">
        <w:trPr>
          <w:trHeight w:val="837"/>
        </w:trPr>
        <w:tc>
          <w:tcPr>
            <w:tcW w:w="754" w:type="dxa"/>
            <w:vAlign w:val="center"/>
          </w:tcPr>
          <w:p w:rsidR="00744204" w:rsidRPr="00DD23C8" w:rsidRDefault="00744204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DD23C8">
              <w:rPr>
                <w:b/>
                <w:szCs w:val="24"/>
              </w:rPr>
              <w:t>1</w:t>
            </w:r>
          </w:p>
          <w:p w:rsidR="00744204" w:rsidRPr="00DD23C8" w:rsidRDefault="00744204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DD23C8">
              <w:rPr>
                <w:b/>
                <w:szCs w:val="24"/>
              </w:rPr>
              <w:t>2</w:t>
            </w:r>
          </w:p>
        </w:tc>
        <w:tc>
          <w:tcPr>
            <w:tcW w:w="4046" w:type="dxa"/>
            <w:vAlign w:val="center"/>
          </w:tcPr>
          <w:p w:rsidR="00744204" w:rsidRPr="00DD23C8" w:rsidRDefault="00744204" w:rsidP="00DD23C8">
            <w:pPr>
              <w:pStyle w:val="20"/>
              <w:tabs>
                <w:tab w:val="left" w:pos="0"/>
              </w:tabs>
              <w:spacing w:line="276" w:lineRule="auto"/>
              <w:ind w:right="-108" w:firstLine="0"/>
              <w:jc w:val="center"/>
              <w:rPr>
                <w:szCs w:val="24"/>
              </w:rPr>
            </w:pPr>
            <w:r w:rsidRPr="00DD23C8">
              <w:rPr>
                <w:szCs w:val="24"/>
                <w:lang w:val="ru-RU"/>
              </w:rPr>
              <w:t>Техническа оценка (ТО)</w:t>
            </w:r>
          </w:p>
          <w:p w:rsidR="00744204" w:rsidRPr="00DD23C8" w:rsidRDefault="00A23CAE" w:rsidP="00DD23C8">
            <w:pPr>
              <w:pStyle w:val="20"/>
              <w:tabs>
                <w:tab w:val="left" w:pos="0"/>
              </w:tabs>
              <w:spacing w:line="276" w:lineRule="auto"/>
              <w:ind w:right="-108" w:firstLine="0"/>
              <w:jc w:val="center"/>
              <w:rPr>
                <w:szCs w:val="24"/>
              </w:rPr>
            </w:pPr>
            <w:r w:rsidRPr="00DD23C8">
              <w:rPr>
                <w:szCs w:val="24"/>
              </w:rPr>
              <w:t>Финансова</w:t>
            </w:r>
            <w:r w:rsidR="00744204" w:rsidRPr="00DD23C8">
              <w:rPr>
                <w:szCs w:val="24"/>
              </w:rPr>
              <w:t xml:space="preserve"> оценка (</w:t>
            </w:r>
            <w:r w:rsidRPr="00DD23C8">
              <w:rPr>
                <w:szCs w:val="24"/>
              </w:rPr>
              <w:t>Ф</w:t>
            </w:r>
            <w:r w:rsidR="00744204" w:rsidRPr="00DD23C8">
              <w:rPr>
                <w:szCs w:val="24"/>
              </w:rPr>
              <w:t>О)</w:t>
            </w:r>
          </w:p>
        </w:tc>
        <w:tc>
          <w:tcPr>
            <w:tcW w:w="4080" w:type="dxa"/>
            <w:vAlign w:val="center"/>
          </w:tcPr>
          <w:p w:rsidR="00744204" w:rsidRPr="00DD23C8" w:rsidRDefault="00F25248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DD23C8">
              <w:rPr>
                <w:szCs w:val="24"/>
                <w:lang w:val="ru-RU"/>
              </w:rPr>
              <w:t>5</w:t>
            </w:r>
            <w:r w:rsidR="00744204" w:rsidRPr="00DD23C8">
              <w:rPr>
                <w:szCs w:val="24"/>
              </w:rPr>
              <w:t xml:space="preserve"> %</w:t>
            </w:r>
          </w:p>
          <w:p w:rsidR="00744204" w:rsidRPr="00DD23C8" w:rsidRDefault="00F25248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DD23C8">
              <w:rPr>
                <w:szCs w:val="24"/>
                <w:lang w:val="ru-RU"/>
              </w:rPr>
              <w:t>95</w:t>
            </w:r>
            <w:r w:rsidR="00744204" w:rsidRPr="00DD23C8">
              <w:rPr>
                <w:szCs w:val="24"/>
              </w:rPr>
              <w:t xml:space="preserve"> %</w:t>
            </w:r>
          </w:p>
        </w:tc>
      </w:tr>
      <w:tr w:rsidR="00744204" w:rsidRPr="00DD23C8">
        <w:tc>
          <w:tcPr>
            <w:tcW w:w="754" w:type="dxa"/>
          </w:tcPr>
          <w:p w:rsidR="00744204" w:rsidRPr="00DD23C8" w:rsidRDefault="00744204" w:rsidP="00DD23C8">
            <w:pPr>
              <w:pStyle w:val="20"/>
              <w:tabs>
                <w:tab w:val="left" w:pos="0"/>
                <w:tab w:val="left" w:pos="1211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4046" w:type="dxa"/>
          </w:tcPr>
          <w:p w:rsidR="00744204" w:rsidRPr="00DD23C8" w:rsidRDefault="00744204" w:rsidP="00DD23C8">
            <w:pPr>
              <w:pStyle w:val="20"/>
              <w:tabs>
                <w:tab w:val="left" w:pos="0"/>
              </w:tabs>
              <w:spacing w:line="276" w:lineRule="auto"/>
              <w:ind w:right="-108" w:firstLine="0"/>
              <w:jc w:val="center"/>
              <w:rPr>
                <w:b/>
                <w:szCs w:val="24"/>
              </w:rPr>
            </w:pPr>
            <w:r w:rsidRPr="00DD23C8">
              <w:rPr>
                <w:b/>
                <w:szCs w:val="24"/>
              </w:rPr>
              <w:t>Комплексна оценка (КО)</w:t>
            </w:r>
          </w:p>
        </w:tc>
        <w:tc>
          <w:tcPr>
            <w:tcW w:w="4080" w:type="dxa"/>
          </w:tcPr>
          <w:p w:rsidR="00744204" w:rsidRPr="00DD23C8" w:rsidRDefault="00744204" w:rsidP="00DD23C8">
            <w:pPr>
              <w:pStyle w:val="20"/>
              <w:numPr>
                <w:ilvl w:val="0"/>
                <w:numId w:val="21"/>
              </w:numPr>
              <w:tabs>
                <w:tab w:val="left" w:pos="0"/>
                <w:tab w:val="left" w:pos="1211"/>
              </w:tabs>
              <w:spacing w:line="276" w:lineRule="auto"/>
              <w:jc w:val="center"/>
              <w:rPr>
                <w:b/>
                <w:szCs w:val="24"/>
                <w:lang w:val="ru-RU"/>
              </w:rPr>
            </w:pPr>
          </w:p>
        </w:tc>
      </w:tr>
    </w:tbl>
    <w:p w:rsidR="00744204" w:rsidRPr="00DD23C8" w:rsidRDefault="00744204" w:rsidP="00DE6970">
      <w:pPr>
        <w:pStyle w:val="20"/>
        <w:tabs>
          <w:tab w:val="left" w:pos="0"/>
          <w:tab w:val="left" w:pos="1211"/>
        </w:tabs>
        <w:spacing w:line="276" w:lineRule="auto"/>
        <w:ind w:firstLine="0"/>
        <w:rPr>
          <w:szCs w:val="24"/>
        </w:rPr>
      </w:pPr>
    </w:p>
    <w:p w:rsidR="00DE6970" w:rsidRDefault="00DE6970" w:rsidP="00DE6970">
      <w:pPr>
        <w:pStyle w:val="3"/>
        <w:spacing w:line="276" w:lineRule="auto"/>
        <w:ind w:left="360" w:right="22" w:firstLine="0"/>
        <w:rPr>
          <w:b/>
          <w:sz w:val="24"/>
          <w:szCs w:val="24"/>
          <w:lang w:val="ru-RU"/>
        </w:rPr>
      </w:pPr>
    </w:p>
    <w:p w:rsidR="00AA3CCE" w:rsidRPr="00DD23C8" w:rsidRDefault="00AA3CCE" w:rsidP="00DD23C8">
      <w:pPr>
        <w:pStyle w:val="3"/>
        <w:numPr>
          <w:ilvl w:val="0"/>
          <w:numId w:val="18"/>
        </w:numPr>
        <w:spacing w:line="276" w:lineRule="auto"/>
        <w:ind w:right="22"/>
        <w:rPr>
          <w:b/>
          <w:sz w:val="24"/>
          <w:szCs w:val="24"/>
          <w:lang w:val="ru-RU"/>
        </w:rPr>
      </w:pPr>
      <w:r w:rsidRPr="00DD23C8">
        <w:rPr>
          <w:b/>
          <w:sz w:val="24"/>
          <w:szCs w:val="24"/>
          <w:lang w:val="ru-RU"/>
        </w:rPr>
        <w:lastRenderedPageBreak/>
        <w:t>ТОЧНИ УКАЗАНИЯ ЗА ОПРЕДЕЛЯНЕ НА ТЕХНИЧЕСКАТА И ФИНАНСОВАТА ОЦЕНКА</w:t>
      </w:r>
    </w:p>
    <w:p w:rsidR="00AA3CCE" w:rsidRPr="00DD23C8" w:rsidRDefault="00AA3CCE" w:rsidP="00DD23C8">
      <w:pPr>
        <w:pStyle w:val="3"/>
        <w:spacing w:line="276" w:lineRule="auto"/>
        <w:ind w:right="22" w:firstLine="0"/>
        <w:rPr>
          <w:b/>
          <w:sz w:val="24"/>
          <w:szCs w:val="24"/>
          <w:lang w:val="ru-RU"/>
        </w:rPr>
      </w:pPr>
    </w:p>
    <w:p w:rsidR="00AA3CCE" w:rsidRPr="00DE6970" w:rsidRDefault="00AA3CCE" w:rsidP="00DE6970">
      <w:pPr>
        <w:numPr>
          <w:ilvl w:val="1"/>
          <w:numId w:val="18"/>
        </w:numPr>
        <w:spacing w:line="276" w:lineRule="auto"/>
        <w:ind w:left="0" w:right="136" w:firstLine="540"/>
        <w:jc w:val="both"/>
        <w:rPr>
          <w:b/>
          <w:u w:val="single"/>
        </w:rPr>
      </w:pPr>
      <w:r w:rsidRPr="00DD23C8">
        <w:rPr>
          <w:b/>
          <w:u w:val="single"/>
        </w:rPr>
        <w:t>Техническа оценка (</w:t>
      </w:r>
      <w:r w:rsidRPr="00DD23C8">
        <w:rPr>
          <w:b/>
          <w:u w:val="single"/>
          <w:lang w:val="en-US"/>
        </w:rPr>
        <w:t>T</w:t>
      </w:r>
      <w:r w:rsidRPr="00DD23C8">
        <w:rPr>
          <w:b/>
          <w:u w:val="single"/>
        </w:rPr>
        <w:t xml:space="preserve">О) – максимален брой </w:t>
      </w:r>
      <w:r w:rsidR="00F25248" w:rsidRPr="00DD23C8">
        <w:rPr>
          <w:b/>
          <w:u w:val="single"/>
          <w:lang w:val="ru-RU"/>
        </w:rPr>
        <w:t>5</w:t>
      </w:r>
      <w:r w:rsidRPr="00DD23C8">
        <w:rPr>
          <w:b/>
          <w:u w:val="single"/>
        </w:rPr>
        <w:t xml:space="preserve"> точки</w:t>
      </w:r>
      <w:r w:rsidR="000711DF" w:rsidRPr="00DD23C8">
        <w:rPr>
          <w:b/>
          <w:u w:val="single"/>
        </w:rPr>
        <w:t>, включваща показателя</w:t>
      </w:r>
      <w:r w:rsidR="00F25248" w:rsidRPr="00DD23C8">
        <w:rPr>
          <w:b/>
          <w:u w:val="single"/>
        </w:rPr>
        <w:t xml:space="preserve"> </w:t>
      </w:r>
      <w:r w:rsidR="000711DF" w:rsidRPr="00DD23C8">
        <w:rPr>
          <w:b/>
          <w:u w:val="single"/>
        </w:rPr>
        <w:t xml:space="preserve">„Срок за </w:t>
      </w:r>
      <w:r w:rsidR="00F25248" w:rsidRPr="00DD23C8">
        <w:rPr>
          <w:b/>
          <w:u w:val="single"/>
        </w:rPr>
        <w:t xml:space="preserve">плащане след </w:t>
      </w:r>
      <w:r w:rsidR="000711DF" w:rsidRPr="00DD23C8">
        <w:rPr>
          <w:b/>
          <w:u w:val="single"/>
        </w:rPr>
        <w:t xml:space="preserve">изпълнение на </w:t>
      </w:r>
      <w:r w:rsidR="00F25248" w:rsidRPr="00DD23C8">
        <w:rPr>
          <w:b/>
          <w:u w:val="single"/>
        </w:rPr>
        <w:t xml:space="preserve">месечна </w:t>
      </w:r>
      <w:r w:rsidR="000711DF" w:rsidRPr="00DD23C8">
        <w:rPr>
          <w:b/>
          <w:u w:val="single"/>
        </w:rPr>
        <w:t>доставка“</w:t>
      </w:r>
    </w:p>
    <w:p w:rsidR="00AA3CCE" w:rsidRPr="00DD23C8" w:rsidRDefault="00AA3CCE" w:rsidP="00DD23C8">
      <w:pPr>
        <w:tabs>
          <w:tab w:val="left" w:pos="709"/>
          <w:tab w:val="left" w:pos="993"/>
          <w:tab w:val="num" w:pos="1260"/>
        </w:tabs>
        <w:spacing w:line="276" w:lineRule="auto"/>
        <w:ind w:firstLine="540"/>
        <w:jc w:val="both"/>
        <w:rPr>
          <w:lang w:val="ru-RU"/>
        </w:rPr>
      </w:pPr>
      <w:r w:rsidRPr="00DD23C8">
        <w:t xml:space="preserve">Общата техническа оценка на всяко едно от предложенията се изчислява по следната формула: </w:t>
      </w:r>
    </w:p>
    <w:p w:rsidR="00AA3CCE" w:rsidRPr="00DD23C8" w:rsidRDefault="00AA3CCE" w:rsidP="00DD23C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16"/>
          <w:szCs w:val="16"/>
          <w:lang w:val="ru-RU"/>
        </w:rPr>
      </w:pPr>
    </w:p>
    <w:p w:rsidR="00AA3CCE" w:rsidRPr="00DD23C8" w:rsidRDefault="00AA3CCE" w:rsidP="00DD23C8">
      <w:pPr>
        <w:tabs>
          <w:tab w:val="left" w:pos="567"/>
        </w:tabs>
        <w:spacing w:line="276" w:lineRule="auto"/>
        <w:ind w:firstLine="720"/>
        <w:jc w:val="both"/>
        <w:rPr>
          <w:b/>
          <w:lang w:val="ru-RU"/>
        </w:rPr>
      </w:pPr>
      <w:r w:rsidRPr="00DD23C8">
        <w:rPr>
          <w:b/>
          <w:lang w:val="ru-RU"/>
        </w:rPr>
        <w:tab/>
      </w:r>
      <w:r w:rsidR="00F25248" w:rsidRPr="00DD23C8">
        <w:rPr>
          <w:b/>
          <w:lang w:val="en-US"/>
        </w:rPr>
        <w:t>TO</w:t>
      </w:r>
      <w:r w:rsidR="00F25248" w:rsidRPr="00DD23C8">
        <w:rPr>
          <w:b/>
          <w:vertAlign w:val="subscript"/>
          <w:lang w:val="en-US"/>
        </w:rPr>
        <w:t>N</w:t>
      </w:r>
    </w:p>
    <w:p w:rsidR="00AA3CCE" w:rsidRPr="00DD23C8" w:rsidRDefault="00AA3CCE" w:rsidP="00DD23C8">
      <w:pPr>
        <w:tabs>
          <w:tab w:val="left" w:pos="567"/>
        </w:tabs>
        <w:spacing w:line="276" w:lineRule="auto"/>
        <w:ind w:firstLine="720"/>
        <w:jc w:val="both"/>
        <w:rPr>
          <w:b/>
          <w:lang w:val="ru-RU"/>
        </w:rPr>
      </w:pPr>
      <w:r w:rsidRPr="00DD23C8">
        <w:rPr>
          <w:b/>
        </w:rPr>
        <w:t xml:space="preserve">ТО = </w:t>
      </w:r>
      <w:r w:rsidRPr="00DD23C8">
        <w:rPr>
          <w:b/>
          <w:lang w:val="ru-RU"/>
        </w:rPr>
        <w:t xml:space="preserve">-------------- </w:t>
      </w:r>
      <w:r w:rsidRPr="00DD23C8">
        <w:rPr>
          <w:b/>
          <w:lang w:val="en-US"/>
        </w:rPr>
        <w:t>x</w:t>
      </w:r>
      <w:r w:rsidR="00F25248" w:rsidRPr="00DD23C8">
        <w:rPr>
          <w:b/>
          <w:lang w:val="ru-RU"/>
        </w:rPr>
        <w:t xml:space="preserve"> 5</w:t>
      </w:r>
    </w:p>
    <w:p w:rsidR="00AA3CCE" w:rsidRDefault="00AA3CCE" w:rsidP="00DE6970">
      <w:pPr>
        <w:tabs>
          <w:tab w:val="left" w:pos="567"/>
        </w:tabs>
        <w:spacing w:line="276" w:lineRule="auto"/>
        <w:ind w:firstLine="720"/>
        <w:jc w:val="both"/>
        <w:rPr>
          <w:b/>
          <w:lang w:val="ru-RU"/>
        </w:rPr>
      </w:pPr>
      <w:r w:rsidRPr="00DD23C8">
        <w:rPr>
          <w:b/>
          <w:lang w:val="ru-RU"/>
        </w:rPr>
        <w:tab/>
      </w:r>
      <w:proofErr w:type="spellStart"/>
      <w:r w:rsidR="00F25248" w:rsidRPr="00DD23C8">
        <w:rPr>
          <w:b/>
          <w:lang w:val="en-US"/>
        </w:rPr>
        <w:t>TO</w:t>
      </w:r>
      <w:r w:rsidR="00F25248" w:rsidRPr="00DD23C8">
        <w:rPr>
          <w:b/>
          <w:vertAlign w:val="subscript"/>
          <w:lang w:val="en-US"/>
        </w:rPr>
        <w:t>Nm</w:t>
      </w:r>
      <w:r w:rsidR="00F25248" w:rsidRPr="00DD23C8">
        <w:rPr>
          <w:b/>
          <w:vertAlign w:val="subscript"/>
        </w:rPr>
        <w:t>ах</w:t>
      </w:r>
      <w:proofErr w:type="spellEnd"/>
      <w:r w:rsidR="00F25248" w:rsidRPr="00DE6970">
        <w:rPr>
          <w:b/>
          <w:lang w:val="ru-RU"/>
        </w:rPr>
        <w:t xml:space="preserve"> </w:t>
      </w:r>
    </w:p>
    <w:p w:rsidR="00DE6970" w:rsidRPr="00DD23C8" w:rsidRDefault="00DE6970" w:rsidP="00DE6970">
      <w:pPr>
        <w:tabs>
          <w:tab w:val="left" w:pos="567"/>
        </w:tabs>
        <w:spacing w:line="276" w:lineRule="auto"/>
        <w:ind w:firstLine="720"/>
        <w:jc w:val="both"/>
        <w:rPr>
          <w:b/>
          <w:lang w:val="ru-RU"/>
        </w:rPr>
      </w:pPr>
    </w:p>
    <w:p w:rsidR="00AA3CCE" w:rsidRPr="00DD23C8" w:rsidRDefault="00AA3CCE" w:rsidP="00DD23C8">
      <w:pPr>
        <w:tabs>
          <w:tab w:val="left" w:pos="709"/>
          <w:tab w:val="left" w:pos="993"/>
        </w:tabs>
        <w:spacing w:line="276" w:lineRule="auto"/>
        <w:ind w:firstLine="540"/>
        <w:jc w:val="both"/>
        <w:rPr>
          <w:b/>
        </w:rPr>
      </w:pPr>
      <w:r w:rsidRPr="00DD23C8">
        <w:rPr>
          <w:b/>
        </w:rPr>
        <w:t>Т</w:t>
      </w:r>
      <w:r w:rsidRPr="00DD23C8">
        <w:rPr>
          <w:b/>
          <w:lang w:val="en-US"/>
        </w:rPr>
        <w:t>O</w:t>
      </w:r>
      <w:r w:rsidRPr="00DD23C8">
        <w:rPr>
          <w:b/>
          <w:vertAlign w:val="subscript"/>
          <w:lang w:val="en-US"/>
        </w:rPr>
        <w:t>N</w:t>
      </w:r>
      <w:r w:rsidRPr="00DD23C8">
        <w:t xml:space="preserve">– </w:t>
      </w:r>
      <w:r w:rsidR="00F25248" w:rsidRPr="00DD23C8">
        <w:rPr>
          <w:b/>
          <w:u w:val="single"/>
        </w:rPr>
        <w:t>Срок за плащане след изпълнение на месечна доставка</w:t>
      </w:r>
      <w:r w:rsidR="000711DF" w:rsidRPr="00DD23C8">
        <w:t>, предложен от конкретния участник</w:t>
      </w:r>
    </w:p>
    <w:p w:rsidR="0072706C" w:rsidRPr="00DD23C8" w:rsidRDefault="00AA3CCE" w:rsidP="00DD23C8">
      <w:pPr>
        <w:tabs>
          <w:tab w:val="left" w:pos="709"/>
          <w:tab w:val="left" w:pos="993"/>
        </w:tabs>
        <w:spacing w:line="276" w:lineRule="auto"/>
        <w:ind w:firstLine="540"/>
        <w:jc w:val="both"/>
        <w:rPr>
          <w:b/>
        </w:rPr>
      </w:pPr>
      <w:proofErr w:type="spellStart"/>
      <w:r w:rsidRPr="00DD23C8">
        <w:rPr>
          <w:b/>
          <w:lang w:val="en-US"/>
        </w:rPr>
        <w:t>TO</w:t>
      </w:r>
      <w:r w:rsidR="000711DF" w:rsidRPr="00DD23C8">
        <w:rPr>
          <w:b/>
          <w:vertAlign w:val="subscript"/>
          <w:lang w:val="en-US"/>
        </w:rPr>
        <w:t>Nm</w:t>
      </w:r>
      <w:r w:rsidR="00F25248" w:rsidRPr="00DD23C8">
        <w:rPr>
          <w:b/>
          <w:vertAlign w:val="subscript"/>
        </w:rPr>
        <w:t>ах</w:t>
      </w:r>
      <w:r w:rsidRPr="00DD23C8">
        <w:t>–</w:t>
      </w:r>
      <w:proofErr w:type="spellEnd"/>
      <w:r w:rsidRPr="00DD23C8">
        <w:t xml:space="preserve"> </w:t>
      </w:r>
      <w:r w:rsidR="00F25248" w:rsidRPr="00DD23C8">
        <w:t xml:space="preserve">максималния </w:t>
      </w:r>
      <w:r w:rsidR="00F25248" w:rsidRPr="00DD23C8">
        <w:rPr>
          <w:b/>
          <w:u w:val="single"/>
        </w:rPr>
        <w:t>Срок за плащане след изпълнение на месечна доставка</w:t>
      </w:r>
      <w:r w:rsidR="0072706C" w:rsidRPr="00DD23C8">
        <w:t>, предложен от участник</w:t>
      </w:r>
    </w:p>
    <w:p w:rsidR="0072706C" w:rsidRDefault="00AA3CCE" w:rsidP="00DE6970">
      <w:pPr>
        <w:tabs>
          <w:tab w:val="left" w:pos="567"/>
        </w:tabs>
        <w:spacing w:line="276" w:lineRule="auto"/>
        <w:ind w:firstLine="540"/>
        <w:jc w:val="both"/>
      </w:pPr>
      <w:r w:rsidRPr="00DD23C8">
        <w:rPr>
          <w:b/>
        </w:rPr>
        <w:t>ТО</w:t>
      </w:r>
      <w:r w:rsidRPr="00DD23C8">
        <w:t>–  техническа оценка на оценяваната оферта.</w:t>
      </w:r>
    </w:p>
    <w:p w:rsidR="00DE6970" w:rsidRPr="00DD23C8" w:rsidRDefault="00DE6970" w:rsidP="00DE6970">
      <w:pPr>
        <w:tabs>
          <w:tab w:val="left" w:pos="567"/>
        </w:tabs>
        <w:spacing w:line="276" w:lineRule="auto"/>
        <w:ind w:firstLine="540"/>
        <w:jc w:val="both"/>
      </w:pPr>
    </w:p>
    <w:p w:rsidR="00AA3CCE" w:rsidRPr="00DD23C8" w:rsidRDefault="0072706C" w:rsidP="00DD23C8">
      <w:pPr>
        <w:pStyle w:val="3"/>
        <w:spacing w:line="276" w:lineRule="auto"/>
        <w:ind w:right="-98" w:firstLine="540"/>
        <w:rPr>
          <w:b/>
          <w:sz w:val="20"/>
          <w:lang w:val="bg-BG"/>
        </w:rPr>
      </w:pPr>
      <w:r w:rsidRPr="00DD23C8">
        <w:rPr>
          <w:b/>
          <w:sz w:val="20"/>
          <w:lang w:val="bg-BG"/>
        </w:rPr>
        <w:t xml:space="preserve">Заб. Срока за </w:t>
      </w:r>
      <w:r w:rsidR="00723F1E" w:rsidRPr="00DD23C8">
        <w:rPr>
          <w:b/>
          <w:sz w:val="20"/>
          <w:lang w:val="bg-BG"/>
        </w:rPr>
        <w:t xml:space="preserve">плащане се </w:t>
      </w:r>
      <w:r w:rsidRPr="00DD23C8">
        <w:rPr>
          <w:b/>
          <w:sz w:val="20"/>
          <w:lang w:val="bg-BG"/>
        </w:rPr>
        <w:t xml:space="preserve">заявява в </w:t>
      </w:r>
      <w:r w:rsidR="002D7F0D">
        <w:rPr>
          <w:b/>
          <w:sz w:val="20"/>
          <w:lang w:val="bg-BG"/>
        </w:rPr>
        <w:t xml:space="preserve">календарни </w:t>
      </w:r>
      <w:r w:rsidR="00723F1E" w:rsidRPr="00DD23C8">
        <w:rPr>
          <w:b/>
          <w:sz w:val="20"/>
          <w:lang w:val="bg-BG"/>
        </w:rPr>
        <w:t>дни. Използването на друга мерна единица е самостоятелно основание за отстраняване на участника</w:t>
      </w:r>
      <w:r w:rsidRPr="00DD23C8">
        <w:rPr>
          <w:b/>
          <w:sz w:val="20"/>
          <w:lang w:val="bg-BG"/>
        </w:rPr>
        <w:t>.</w:t>
      </w:r>
    </w:p>
    <w:p w:rsidR="00D32C48" w:rsidRPr="00DD23C8" w:rsidRDefault="00D32C48" w:rsidP="00DE6970">
      <w:pPr>
        <w:pStyle w:val="2"/>
        <w:spacing w:line="276" w:lineRule="auto"/>
        <w:rPr>
          <w:i w:val="0"/>
        </w:rPr>
      </w:pPr>
    </w:p>
    <w:p w:rsidR="00CB1CB8" w:rsidRPr="00DD23C8" w:rsidRDefault="00EB3C9F" w:rsidP="00DD23C8">
      <w:pPr>
        <w:tabs>
          <w:tab w:val="left" w:pos="709"/>
          <w:tab w:val="left" w:pos="993"/>
        </w:tabs>
        <w:spacing w:after="120" w:line="276" w:lineRule="auto"/>
        <w:ind w:firstLine="540"/>
        <w:jc w:val="both"/>
        <w:rPr>
          <w:b/>
          <w:u w:val="single"/>
          <w:lang w:val="ru-RU"/>
        </w:rPr>
      </w:pPr>
      <w:r w:rsidRPr="00DD23C8">
        <w:rPr>
          <w:b/>
          <w:u w:val="single"/>
          <w:lang w:val="ru-RU"/>
        </w:rPr>
        <w:t>2</w:t>
      </w:r>
      <w:r w:rsidR="00CB1CB8" w:rsidRPr="00DD23C8">
        <w:rPr>
          <w:b/>
          <w:u w:val="single"/>
          <w:lang w:val="ru-RU"/>
        </w:rPr>
        <w:t xml:space="preserve">.2. </w:t>
      </w:r>
      <w:proofErr w:type="spellStart"/>
      <w:r w:rsidR="00A23CAE" w:rsidRPr="00DD23C8">
        <w:rPr>
          <w:b/>
          <w:u w:val="single"/>
          <w:lang w:val="ru-RU"/>
        </w:rPr>
        <w:t>Финансова</w:t>
      </w:r>
      <w:proofErr w:type="spellEnd"/>
      <w:r w:rsidR="00CB1CB8" w:rsidRPr="00DD23C8">
        <w:rPr>
          <w:b/>
          <w:u w:val="single"/>
          <w:lang w:val="ru-RU"/>
        </w:rPr>
        <w:t xml:space="preserve"> оценка (</w:t>
      </w:r>
      <w:r w:rsidR="00A23CAE" w:rsidRPr="00DD23C8">
        <w:rPr>
          <w:b/>
          <w:u w:val="single"/>
          <w:lang w:val="ru-RU"/>
        </w:rPr>
        <w:t>Ф</w:t>
      </w:r>
      <w:r w:rsidR="00CB1CB8" w:rsidRPr="00DD23C8">
        <w:rPr>
          <w:b/>
          <w:u w:val="single"/>
          <w:lang w:val="ru-RU"/>
        </w:rPr>
        <w:t xml:space="preserve">О) </w:t>
      </w:r>
      <w:r w:rsidR="00CB1CB8" w:rsidRPr="00DD23C8">
        <w:rPr>
          <w:b/>
          <w:u w:val="single"/>
        </w:rPr>
        <w:t xml:space="preserve">– максимален брой </w:t>
      </w:r>
      <w:r w:rsidR="00652931" w:rsidRPr="00D431C9">
        <w:rPr>
          <w:b/>
          <w:u w:val="single"/>
          <w:lang w:val="ru-RU"/>
        </w:rPr>
        <w:t>95</w:t>
      </w:r>
      <w:r w:rsidR="00CB1CB8" w:rsidRPr="00DD23C8">
        <w:rPr>
          <w:b/>
          <w:u w:val="single"/>
        </w:rPr>
        <w:t xml:space="preserve"> точки</w:t>
      </w:r>
    </w:p>
    <w:p w:rsidR="00CB1CB8" w:rsidRDefault="00A23CAE" w:rsidP="00DE6970">
      <w:pPr>
        <w:tabs>
          <w:tab w:val="left" w:pos="709"/>
          <w:tab w:val="left" w:pos="993"/>
        </w:tabs>
        <w:spacing w:line="276" w:lineRule="auto"/>
        <w:ind w:firstLine="540"/>
        <w:jc w:val="both"/>
        <w:rPr>
          <w:lang w:val="ru-RU"/>
        </w:rPr>
      </w:pPr>
      <w:r w:rsidRPr="00DD23C8">
        <w:rPr>
          <w:lang w:val="ru-RU"/>
        </w:rPr>
        <w:t>Финансовите</w:t>
      </w:r>
      <w:r w:rsidR="00CB1CB8" w:rsidRPr="00DD23C8">
        <w:rPr>
          <w:lang w:val="ru-RU"/>
        </w:rPr>
        <w:t xml:space="preserve"> предложения се проверяват, за да се установи, че са подготвени и представени в съответствие с изискванията на документацията за участие в </w:t>
      </w:r>
      <w:r w:rsidR="00CB1CB8" w:rsidRPr="00DD23C8">
        <w:t>процедурата</w:t>
      </w:r>
      <w:r w:rsidR="00CB1CB8" w:rsidRPr="00DD23C8">
        <w:rPr>
          <w:lang w:val="ru-RU"/>
        </w:rPr>
        <w:t>.</w:t>
      </w:r>
      <w:r w:rsidR="00CE232C" w:rsidRPr="00DE6970">
        <w:rPr>
          <w:lang w:val="ru-RU"/>
        </w:rPr>
        <w:t xml:space="preserve"> </w:t>
      </w:r>
      <w:r w:rsidR="00CB1CB8" w:rsidRPr="00DD23C8">
        <w:rPr>
          <w:lang w:val="ru-RU"/>
        </w:rPr>
        <w:t xml:space="preserve">При различия между </w:t>
      </w:r>
      <w:proofErr w:type="spellStart"/>
      <w:r w:rsidR="00CB1CB8" w:rsidRPr="00DD23C8">
        <w:rPr>
          <w:lang w:val="ru-RU"/>
        </w:rPr>
        <w:t>сумите</w:t>
      </w:r>
      <w:proofErr w:type="spellEnd"/>
      <w:r w:rsidR="00CB1CB8" w:rsidRPr="00DD23C8">
        <w:rPr>
          <w:lang w:val="ru-RU"/>
        </w:rPr>
        <w:t xml:space="preserve">, </w:t>
      </w:r>
      <w:proofErr w:type="spellStart"/>
      <w:r w:rsidR="00CB1CB8" w:rsidRPr="00DD23C8">
        <w:rPr>
          <w:lang w:val="ru-RU"/>
        </w:rPr>
        <w:t>изразени</w:t>
      </w:r>
      <w:proofErr w:type="spellEnd"/>
      <w:r w:rsidR="00CB1CB8" w:rsidRPr="00DD23C8">
        <w:rPr>
          <w:lang w:val="ru-RU"/>
        </w:rPr>
        <w:t xml:space="preserve"> с </w:t>
      </w:r>
      <w:proofErr w:type="spellStart"/>
      <w:r w:rsidR="00CB1CB8" w:rsidRPr="00DD23C8">
        <w:rPr>
          <w:lang w:val="ru-RU"/>
        </w:rPr>
        <w:t>цифри</w:t>
      </w:r>
      <w:proofErr w:type="spellEnd"/>
      <w:r w:rsidR="00CB1CB8" w:rsidRPr="00DD23C8">
        <w:rPr>
          <w:lang w:val="ru-RU"/>
        </w:rPr>
        <w:t xml:space="preserve"> и </w:t>
      </w:r>
      <w:proofErr w:type="spellStart"/>
      <w:r w:rsidR="00CB1CB8" w:rsidRPr="00DD23C8">
        <w:rPr>
          <w:lang w:val="ru-RU"/>
        </w:rPr>
        <w:t>думи</w:t>
      </w:r>
      <w:proofErr w:type="spellEnd"/>
      <w:r w:rsidR="00CB1CB8" w:rsidRPr="00DD23C8">
        <w:rPr>
          <w:lang w:val="ru-RU"/>
        </w:rPr>
        <w:t xml:space="preserve">, за </w:t>
      </w:r>
      <w:proofErr w:type="spellStart"/>
      <w:r w:rsidR="00CB1CB8" w:rsidRPr="00DD23C8">
        <w:rPr>
          <w:lang w:val="ru-RU"/>
        </w:rPr>
        <w:t>вярно</w:t>
      </w:r>
      <w:proofErr w:type="spellEnd"/>
      <w:r w:rsidR="00CB1CB8" w:rsidRPr="00DD23C8">
        <w:rPr>
          <w:lang w:val="ru-RU"/>
        </w:rPr>
        <w:t xml:space="preserve"> се приема </w:t>
      </w:r>
      <w:proofErr w:type="spellStart"/>
      <w:r w:rsidR="00CB1CB8" w:rsidRPr="00DD23C8">
        <w:rPr>
          <w:lang w:val="ru-RU"/>
        </w:rPr>
        <w:t>словесното</w:t>
      </w:r>
      <w:proofErr w:type="spellEnd"/>
      <w:r w:rsidR="00CB1CB8" w:rsidRPr="00DD23C8">
        <w:rPr>
          <w:lang w:val="ru-RU"/>
        </w:rPr>
        <w:t xml:space="preserve"> </w:t>
      </w:r>
      <w:proofErr w:type="spellStart"/>
      <w:r w:rsidR="00CB1CB8" w:rsidRPr="00DD23C8">
        <w:rPr>
          <w:lang w:val="ru-RU"/>
        </w:rPr>
        <w:t>изражение</w:t>
      </w:r>
      <w:proofErr w:type="spellEnd"/>
      <w:r w:rsidR="00CB1CB8" w:rsidRPr="00DD23C8">
        <w:rPr>
          <w:lang w:val="ru-RU"/>
        </w:rPr>
        <w:t xml:space="preserve"> на </w:t>
      </w:r>
      <w:proofErr w:type="spellStart"/>
      <w:r w:rsidR="00CB1CB8" w:rsidRPr="00DD23C8">
        <w:rPr>
          <w:lang w:val="ru-RU"/>
        </w:rPr>
        <w:t>сумата</w:t>
      </w:r>
      <w:proofErr w:type="spellEnd"/>
      <w:r w:rsidR="00CB1CB8" w:rsidRPr="00DD23C8">
        <w:rPr>
          <w:lang w:val="ru-RU"/>
        </w:rPr>
        <w:t>.</w:t>
      </w:r>
    </w:p>
    <w:p w:rsidR="00DE6970" w:rsidRPr="00DE6970" w:rsidRDefault="00DE6970" w:rsidP="00DE6970">
      <w:pPr>
        <w:tabs>
          <w:tab w:val="left" w:pos="709"/>
          <w:tab w:val="left" w:pos="993"/>
        </w:tabs>
        <w:spacing w:line="276" w:lineRule="auto"/>
        <w:ind w:firstLine="540"/>
        <w:jc w:val="both"/>
        <w:rPr>
          <w:lang w:val="ru-RU"/>
        </w:rPr>
      </w:pPr>
    </w:p>
    <w:p w:rsidR="00CB1CB8" w:rsidRPr="00DD23C8" w:rsidRDefault="00CB1CB8" w:rsidP="00DD23C8">
      <w:pPr>
        <w:tabs>
          <w:tab w:val="left" w:pos="709"/>
          <w:tab w:val="left" w:pos="993"/>
        </w:tabs>
        <w:spacing w:line="276" w:lineRule="auto"/>
        <w:ind w:firstLine="540"/>
        <w:jc w:val="both"/>
        <w:rPr>
          <w:b/>
          <w:i/>
          <w:u w:val="single"/>
        </w:rPr>
      </w:pPr>
      <w:r w:rsidRPr="00DD23C8">
        <w:rPr>
          <w:b/>
          <w:i/>
          <w:u w:val="single"/>
        </w:rPr>
        <w:t>О</w:t>
      </w:r>
      <w:r w:rsidRPr="00DD23C8">
        <w:rPr>
          <w:b/>
          <w:i/>
          <w:u w:val="single"/>
          <w:lang w:val="ru-RU"/>
        </w:rPr>
        <w:t>ценка на икономическото предложение.</w:t>
      </w:r>
    </w:p>
    <w:p w:rsidR="00CB1CB8" w:rsidRPr="00DD23C8" w:rsidRDefault="00CB1CB8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b/>
          <w:sz w:val="16"/>
          <w:szCs w:val="16"/>
          <w:lang w:val="ru-RU"/>
        </w:rPr>
      </w:pPr>
    </w:p>
    <w:p w:rsidR="00CB1CB8" w:rsidRPr="00DD23C8" w:rsidRDefault="00A23CAE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sz w:val="24"/>
          <w:szCs w:val="24"/>
          <w:lang w:val="ru-RU"/>
        </w:rPr>
      </w:pPr>
      <w:r w:rsidRPr="00DD23C8">
        <w:rPr>
          <w:b/>
          <w:sz w:val="24"/>
          <w:szCs w:val="24"/>
          <w:lang w:val="ru-RU"/>
        </w:rPr>
        <w:t>Ф</w:t>
      </w:r>
      <w:r w:rsidR="00CB1CB8" w:rsidRPr="00DD23C8">
        <w:rPr>
          <w:b/>
          <w:sz w:val="24"/>
          <w:szCs w:val="24"/>
          <w:lang w:val="ru-RU"/>
        </w:rPr>
        <w:t>О</w:t>
      </w:r>
      <w:r w:rsidR="00CB1CB8" w:rsidRPr="00DD23C8">
        <w:rPr>
          <w:sz w:val="24"/>
          <w:szCs w:val="24"/>
          <w:lang w:val="ru-RU"/>
        </w:rPr>
        <w:t xml:space="preserve"> – </w:t>
      </w:r>
      <w:r w:rsidRPr="00DD23C8">
        <w:rPr>
          <w:sz w:val="24"/>
          <w:szCs w:val="24"/>
          <w:lang w:val="ru-RU"/>
        </w:rPr>
        <w:t>финансова</w:t>
      </w:r>
      <w:r w:rsidR="00CB1CB8" w:rsidRPr="00DD23C8">
        <w:rPr>
          <w:sz w:val="24"/>
          <w:szCs w:val="24"/>
          <w:lang w:val="ru-RU"/>
        </w:rPr>
        <w:t xml:space="preserve"> оценка на предлаганата от участника цена за изпълнение на поръчката, която за всеки участник се изчислява по формулата:</w:t>
      </w:r>
    </w:p>
    <w:p w:rsidR="00ED7698" w:rsidRPr="00DD23C8" w:rsidRDefault="00ED7698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sz w:val="16"/>
          <w:szCs w:val="16"/>
          <w:lang w:val="ru-RU"/>
        </w:rPr>
      </w:pPr>
    </w:p>
    <w:p w:rsidR="00CB1CB8" w:rsidRPr="00DD23C8" w:rsidRDefault="00A23CAE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sz w:val="24"/>
          <w:szCs w:val="24"/>
          <w:lang w:val="ru-RU"/>
        </w:rPr>
      </w:pPr>
      <w:r w:rsidRPr="00DD23C8">
        <w:rPr>
          <w:b/>
          <w:sz w:val="24"/>
          <w:szCs w:val="24"/>
          <w:lang w:val="ru-RU"/>
        </w:rPr>
        <w:t>Ф</w:t>
      </w:r>
      <w:r w:rsidR="00CB1CB8" w:rsidRPr="00DD23C8">
        <w:rPr>
          <w:b/>
          <w:sz w:val="24"/>
          <w:szCs w:val="24"/>
          <w:lang w:val="ru-RU"/>
        </w:rPr>
        <w:t>О = Ц</w:t>
      </w:r>
      <w:r w:rsidR="00CB1CB8" w:rsidRPr="00DD23C8">
        <w:rPr>
          <w:b/>
          <w:sz w:val="24"/>
          <w:szCs w:val="24"/>
        </w:rPr>
        <w:t>min</w:t>
      </w:r>
      <w:r w:rsidR="00CB1CB8" w:rsidRPr="00DD23C8">
        <w:rPr>
          <w:b/>
          <w:sz w:val="24"/>
          <w:szCs w:val="24"/>
          <w:lang w:val="ru-RU"/>
        </w:rPr>
        <w:t xml:space="preserve"> / Ц</w:t>
      </w:r>
      <w:r w:rsidR="00CB1CB8" w:rsidRPr="00DD23C8">
        <w:rPr>
          <w:b/>
          <w:sz w:val="24"/>
          <w:szCs w:val="24"/>
        </w:rPr>
        <w:t>n</w:t>
      </w:r>
      <w:r w:rsidR="00CB1CB8" w:rsidRPr="00DD23C8">
        <w:rPr>
          <w:b/>
          <w:sz w:val="24"/>
          <w:szCs w:val="24"/>
          <w:lang w:val="ru-RU"/>
        </w:rPr>
        <w:t xml:space="preserve"> х </w:t>
      </w:r>
      <w:r w:rsidR="00723F1E" w:rsidRPr="00DD23C8">
        <w:rPr>
          <w:b/>
          <w:sz w:val="24"/>
          <w:szCs w:val="24"/>
          <w:lang w:val="ru-RU"/>
        </w:rPr>
        <w:t>95</w:t>
      </w:r>
      <w:r w:rsidR="00CB1CB8" w:rsidRPr="00DD23C8">
        <w:rPr>
          <w:b/>
          <w:sz w:val="24"/>
          <w:szCs w:val="24"/>
          <w:lang w:val="ru-RU"/>
        </w:rPr>
        <w:t xml:space="preserve">, </w:t>
      </w:r>
      <w:r w:rsidR="00CB1CB8" w:rsidRPr="00DD23C8">
        <w:rPr>
          <w:sz w:val="24"/>
          <w:szCs w:val="24"/>
          <w:lang w:val="ru-RU"/>
        </w:rPr>
        <w:t>където:</w:t>
      </w:r>
    </w:p>
    <w:p w:rsidR="00ED7698" w:rsidRPr="00DD23C8" w:rsidRDefault="00ED7698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b/>
          <w:sz w:val="16"/>
          <w:szCs w:val="16"/>
          <w:lang w:val="ru-RU"/>
        </w:rPr>
      </w:pPr>
    </w:p>
    <w:p w:rsidR="00CB1CB8" w:rsidRPr="00DD23C8" w:rsidRDefault="00CB1CB8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sz w:val="24"/>
          <w:szCs w:val="24"/>
          <w:lang w:val="ru-RU"/>
        </w:rPr>
      </w:pPr>
      <w:r w:rsidRPr="00DD23C8">
        <w:rPr>
          <w:b/>
          <w:sz w:val="24"/>
          <w:szCs w:val="24"/>
          <w:lang w:val="ru-RU"/>
        </w:rPr>
        <w:t>Ц</w:t>
      </w:r>
      <w:r w:rsidRPr="00DD23C8">
        <w:rPr>
          <w:b/>
          <w:sz w:val="24"/>
          <w:szCs w:val="24"/>
        </w:rPr>
        <w:t>min</w:t>
      </w:r>
      <w:r w:rsidRPr="00DD23C8">
        <w:rPr>
          <w:sz w:val="24"/>
          <w:szCs w:val="24"/>
          <w:lang w:val="ru-RU"/>
        </w:rPr>
        <w:t xml:space="preserve"> – минималната предложена цена сред  всички допуснати до оценка оферти</w:t>
      </w:r>
    </w:p>
    <w:p w:rsidR="00CB1CB8" w:rsidRPr="00DD23C8" w:rsidRDefault="00CB1CB8" w:rsidP="00DD23C8">
      <w:pPr>
        <w:pStyle w:val="a4"/>
        <w:tabs>
          <w:tab w:val="left" w:pos="709"/>
          <w:tab w:val="left" w:pos="993"/>
        </w:tabs>
        <w:spacing w:line="276" w:lineRule="auto"/>
        <w:ind w:firstLine="540"/>
        <w:jc w:val="both"/>
        <w:outlineLvl w:val="0"/>
        <w:rPr>
          <w:sz w:val="24"/>
          <w:szCs w:val="24"/>
          <w:lang w:val="ru-RU"/>
        </w:rPr>
      </w:pPr>
      <w:r w:rsidRPr="00DD23C8">
        <w:rPr>
          <w:b/>
          <w:sz w:val="24"/>
          <w:szCs w:val="24"/>
          <w:lang w:val="ru-RU"/>
        </w:rPr>
        <w:t>Ц</w:t>
      </w:r>
      <w:r w:rsidRPr="00DD23C8">
        <w:rPr>
          <w:b/>
          <w:sz w:val="24"/>
          <w:szCs w:val="24"/>
        </w:rPr>
        <w:t>n</w:t>
      </w:r>
      <w:r w:rsidRPr="00DD23C8">
        <w:rPr>
          <w:sz w:val="24"/>
          <w:szCs w:val="24"/>
          <w:lang w:val="ru-RU"/>
        </w:rPr>
        <w:t xml:space="preserve"> – </w:t>
      </w:r>
      <w:r w:rsidR="00ED7698" w:rsidRPr="00DD23C8">
        <w:rPr>
          <w:sz w:val="24"/>
          <w:szCs w:val="24"/>
          <w:lang w:val="ru-RU"/>
        </w:rPr>
        <w:t>предложена цена на съответния участник</w:t>
      </w:r>
      <w:r w:rsidRPr="00DD23C8">
        <w:rPr>
          <w:sz w:val="24"/>
          <w:szCs w:val="24"/>
          <w:lang w:val="ru-RU"/>
        </w:rPr>
        <w:t xml:space="preserve"> в оценяваната оферта</w:t>
      </w:r>
    </w:p>
    <w:p w:rsidR="00CB1CB8" w:rsidRDefault="00A23CAE" w:rsidP="00DD23C8">
      <w:pPr>
        <w:pStyle w:val="30"/>
        <w:tabs>
          <w:tab w:val="left" w:pos="709"/>
          <w:tab w:val="left" w:pos="993"/>
          <w:tab w:val="left" w:pos="8505"/>
        </w:tabs>
        <w:spacing w:line="276" w:lineRule="auto"/>
        <w:ind w:firstLine="540"/>
        <w:jc w:val="both"/>
        <w:rPr>
          <w:sz w:val="24"/>
          <w:szCs w:val="24"/>
        </w:rPr>
      </w:pPr>
      <w:r w:rsidRPr="00DD23C8">
        <w:rPr>
          <w:b/>
          <w:sz w:val="24"/>
          <w:szCs w:val="24"/>
        </w:rPr>
        <w:t>Ф</w:t>
      </w:r>
      <w:r w:rsidR="00CB1CB8" w:rsidRPr="00DD23C8">
        <w:rPr>
          <w:b/>
          <w:sz w:val="24"/>
          <w:szCs w:val="24"/>
        </w:rPr>
        <w:t xml:space="preserve">О </w:t>
      </w:r>
      <w:r w:rsidR="00CB1CB8" w:rsidRPr="00DD23C8">
        <w:rPr>
          <w:sz w:val="24"/>
          <w:szCs w:val="24"/>
        </w:rPr>
        <w:t xml:space="preserve">се изчислява до втория знак след десетичната запетая. </w:t>
      </w:r>
    </w:p>
    <w:p w:rsidR="00DE6970" w:rsidRPr="00DD23C8" w:rsidRDefault="00DE6970" w:rsidP="00DD23C8">
      <w:pPr>
        <w:pStyle w:val="30"/>
        <w:tabs>
          <w:tab w:val="left" w:pos="709"/>
          <w:tab w:val="left" w:pos="993"/>
          <w:tab w:val="left" w:pos="8505"/>
        </w:tabs>
        <w:spacing w:line="276" w:lineRule="auto"/>
        <w:ind w:firstLine="540"/>
        <w:jc w:val="both"/>
        <w:rPr>
          <w:sz w:val="24"/>
          <w:szCs w:val="24"/>
        </w:rPr>
      </w:pPr>
    </w:p>
    <w:p w:rsidR="00723F1E" w:rsidRPr="00DD23C8" w:rsidRDefault="00723F1E" w:rsidP="00DE6970">
      <w:pPr>
        <w:shd w:val="clear" w:color="auto" w:fill="FFFFFF"/>
        <w:spacing w:line="276" w:lineRule="auto"/>
        <w:ind w:firstLine="567"/>
        <w:jc w:val="both"/>
      </w:pPr>
      <w:r w:rsidRPr="00DD23C8">
        <w:t>Цената следва да бъде представена в български лева без ДДС</w:t>
      </w:r>
      <w:r w:rsidR="002D7F0D">
        <w:t>.</w:t>
      </w:r>
      <w:r w:rsidRPr="00DD23C8">
        <w:t xml:space="preserve"> Участникът следва да предложи крайна цена за един MWh нетна активна електроенергия за ниско напрежение, включваща разходи за балансиране и разходи за прогнозиране на потреблението.</w:t>
      </w:r>
      <w:r w:rsidR="002D7F0D">
        <w:rPr>
          <w:lang w:val="ru-RU"/>
        </w:rPr>
        <w:t xml:space="preserve"> </w:t>
      </w:r>
      <w:r w:rsidRPr="00DD23C8">
        <w:t xml:space="preserve">Възложителят няма да заплаща такса за участие в балансираща група, такси за излишък и недостиг. </w:t>
      </w:r>
    </w:p>
    <w:p w:rsidR="00DE6970" w:rsidRDefault="00723F1E" w:rsidP="00DE6970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DD23C8">
        <w:rPr>
          <w:b/>
        </w:rPr>
        <w:t>Предложената от изпълнителя единична цена нетна активна електроенергия за ниско напрежение</w:t>
      </w:r>
      <w:r w:rsidR="00DE6970" w:rsidRPr="00DE6970">
        <w:rPr>
          <w:b/>
          <w:lang w:val="ru-RU"/>
        </w:rPr>
        <w:t xml:space="preserve"> </w:t>
      </w:r>
      <w:r w:rsidR="00652931">
        <w:rPr>
          <w:b/>
        </w:rPr>
        <w:t xml:space="preserve"> за всяка обособена позиция</w:t>
      </w:r>
      <w:r w:rsidRPr="00DD23C8">
        <w:rPr>
          <w:b/>
        </w:rPr>
        <w:t>, не може да надвишава</w:t>
      </w:r>
      <w:r w:rsidR="00DE6970">
        <w:rPr>
          <w:b/>
        </w:rPr>
        <w:t>:</w:t>
      </w:r>
    </w:p>
    <w:p w:rsidR="00DE6970" w:rsidRPr="0058112E" w:rsidRDefault="00DE6970" w:rsidP="00DE6970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/>
        </w:rPr>
      </w:pPr>
      <w:r w:rsidRPr="0058112E">
        <w:rPr>
          <w:b/>
        </w:rPr>
        <w:t xml:space="preserve">За обособена позиция № 1 - </w:t>
      </w:r>
      <w:r w:rsidR="00723F1E" w:rsidRPr="0058112E">
        <w:rPr>
          <w:b/>
        </w:rPr>
        <w:t xml:space="preserve"> </w:t>
      </w:r>
      <w:r w:rsidRPr="0058112E">
        <w:rPr>
          <w:b/>
        </w:rPr>
        <w:t>1</w:t>
      </w:r>
      <w:r w:rsidR="0058112E" w:rsidRPr="0058112E">
        <w:rPr>
          <w:b/>
        </w:rPr>
        <w:t>23</w:t>
      </w:r>
      <w:r w:rsidR="00723F1E" w:rsidRPr="0058112E">
        <w:rPr>
          <w:b/>
        </w:rPr>
        <w:t>,</w:t>
      </w:r>
      <w:r w:rsidR="0058112E" w:rsidRPr="0058112E">
        <w:rPr>
          <w:b/>
        </w:rPr>
        <w:t>64</w:t>
      </w:r>
      <w:r w:rsidR="00723F1E" w:rsidRPr="0058112E">
        <w:rPr>
          <w:b/>
        </w:rPr>
        <w:t xml:space="preserve"> лв. на </w:t>
      </w:r>
      <w:proofErr w:type="spellStart"/>
      <w:r w:rsidR="00723F1E" w:rsidRPr="0058112E">
        <w:rPr>
          <w:b/>
        </w:rPr>
        <w:t>МWh</w:t>
      </w:r>
      <w:proofErr w:type="spellEnd"/>
      <w:r w:rsidR="00723F1E" w:rsidRPr="0058112E">
        <w:rPr>
          <w:b/>
        </w:rPr>
        <w:t xml:space="preserve"> без включено ДДС.</w:t>
      </w:r>
      <w:r w:rsidR="00614604" w:rsidRPr="0058112E">
        <w:rPr>
          <w:b/>
        </w:rPr>
        <w:t xml:space="preserve"> </w:t>
      </w:r>
    </w:p>
    <w:p w:rsidR="00DE6970" w:rsidRPr="0058112E" w:rsidRDefault="0058112E" w:rsidP="00DE6970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b/>
        </w:rPr>
      </w:pPr>
      <w:r w:rsidRPr="0058112E">
        <w:rPr>
          <w:b/>
        </w:rPr>
        <w:t>За обособена позиция № 2 – 74,68</w:t>
      </w:r>
      <w:r w:rsidR="00DE6970" w:rsidRPr="0058112E">
        <w:rPr>
          <w:b/>
        </w:rPr>
        <w:t xml:space="preserve"> лв. на </w:t>
      </w:r>
      <w:proofErr w:type="spellStart"/>
      <w:r w:rsidR="00DE6970" w:rsidRPr="0058112E">
        <w:rPr>
          <w:b/>
        </w:rPr>
        <w:t>МWh</w:t>
      </w:r>
      <w:proofErr w:type="spellEnd"/>
      <w:r w:rsidR="00DE6970" w:rsidRPr="0058112E">
        <w:rPr>
          <w:b/>
        </w:rPr>
        <w:t xml:space="preserve"> без включено ДДС.</w:t>
      </w:r>
    </w:p>
    <w:p w:rsidR="00614604" w:rsidRPr="00DD23C8" w:rsidRDefault="00614604" w:rsidP="00DE6970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DD23C8">
        <w:rPr>
          <w:b/>
        </w:rPr>
        <w:lastRenderedPageBreak/>
        <w:t>Посочената цена се закръгля до втория знак след десетичната запетая.</w:t>
      </w:r>
    </w:p>
    <w:p w:rsidR="00104701" w:rsidRPr="00DD23C8" w:rsidRDefault="00723F1E" w:rsidP="00DE6970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DD23C8">
        <w:t xml:space="preserve">В горепосочената цена не се включват допълнително дължимите суми за акциз, </w:t>
      </w:r>
      <w:proofErr w:type="spellStart"/>
      <w:r w:rsidRPr="00DD23C8">
        <w:t>до-бавка</w:t>
      </w:r>
      <w:proofErr w:type="spellEnd"/>
      <w:r w:rsidRPr="00DD23C8">
        <w:t xml:space="preserve"> „задължение към обществото“, такса пренос и достъп по електропреносната и </w:t>
      </w:r>
      <w:proofErr w:type="spellStart"/>
      <w:r w:rsidRPr="00DD23C8">
        <w:t>елек-троразпределителната</w:t>
      </w:r>
      <w:proofErr w:type="spellEnd"/>
      <w:r w:rsidRPr="00DD23C8">
        <w:t xml:space="preserve"> мрежа</w:t>
      </w:r>
      <w:r w:rsidR="002F4445">
        <w:t>.</w:t>
      </w:r>
      <w:r w:rsidR="00845DBD" w:rsidRPr="00DD23C8">
        <w:t xml:space="preserve"> Същите се начисляват от Изпълнителя в ежемесечната фактура, като дължимите такси пренос и достъп за мрежовите услуги предоставени от мрежовият оператор/електроразпределителното дружество/, за ползваната през отчетния месечен период електрическа енергия, се заплащат от името и за сметка на община Шабла въз основа на сключен рамков договор </w:t>
      </w:r>
      <w:r w:rsidR="00104701" w:rsidRPr="00DD23C8">
        <w:t xml:space="preserve">/договор за комбинирана услуга/ по смисъла на </w:t>
      </w:r>
      <w:r w:rsidR="00104701" w:rsidRPr="00DD23C8">
        <w:rPr>
          <w:b/>
        </w:rPr>
        <w:t>чл.11, т.13 и във връзка с чл.23 от Правилата за търговия с електрическа енергия.</w:t>
      </w:r>
      <w:r w:rsidR="00614604" w:rsidRPr="00DD23C8">
        <w:rPr>
          <w:b/>
        </w:rPr>
        <w:t xml:space="preserve"> Изпълнителят отчита потреблението ежемесечно и еднократно. Възложителят дължи заплащане само на реално потребена електрическа енергия.</w:t>
      </w:r>
      <w:bookmarkEnd w:id="0"/>
    </w:p>
    <w:sectPr w:rsidR="00104701" w:rsidRPr="00DD23C8" w:rsidSect="00DD2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0" w:right="1106" w:bottom="107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67" w:rsidRDefault="00E05267">
      <w:r>
        <w:separator/>
      </w:r>
    </w:p>
  </w:endnote>
  <w:endnote w:type="continuationSeparator" w:id="0">
    <w:p w:rsidR="00E05267" w:rsidRDefault="00E0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C8" w:rsidRDefault="008814E4" w:rsidP="001C19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7D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DC8" w:rsidRDefault="00987DC8" w:rsidP="00E961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C8" w:rsidRPr="002137FA" w:rsidRDefault="00987DC8" w:rsidP="002137FA">
    <w:pPr>
      <w:pStyle w:val="a5"/>
      <w:framePr w:wrap="around" w:vAnchor="text" w:hAnchor="page" w:x="9519" w:yAlign="bottom"/>
      <w:rPr>
        <w:rStyle w:val="a6"/>
        <w:b/>
        <w:i/>
      </w:rPr>
    </w:pPr>
    <w:r w:rsidRPr="002137FA">
      <w:rPr>
        <w:rStyle w:val="a6"/>
        <w:b/>
        <w:i/>
      </w:rPr>
      <w:t xml:space="preserve">стр. </w:t>
    </w:r>
    <w:r w:rsidR="008814E4" w:rsidRPr="002137FA">
      <w:rPr>
        <w:rStyle w:val="a6"/>
        <w:b/>
        <w:i/>
      </w:rPr>
      <w:fldChar w:fldCharType="begin"/>
    </w:r>
    <w:r w:rsidRPr="002137FA">
      <w:rPr>
        <w:rStyle w:val="a6"/>
        <w:b/>
        <w:i/>
      </w:rPr>
      <w:instrText xml:space="preserve">PAGE  </w:instrText>
    </w:r>
    <w:r w:rsidR="008814E4" w:rsidRPr="002137FA">
      <w:rPr>
        <w:rStyle w:val="a6"/>
        <w:b/>
        <w:i/>
      </w:rPr>
      <w:fldChar w:fldCharType="separate"/>
    </w:r>
    <w:r w:rsidR="00167BCC">
      <w:rPr>
        <w:rStyle w:val="a6"/>
        <w:b/>
        <w:i/>
        <w:noProof/>
      </w:rPr>
      <w:t>2</w:t>
    </w:r>
    <w:r w:rsidR="008814E4" w:rsidRPr="002137FA">
      <w:rPr>
        <w:rStyle w:val="a6"/>
        <w:b/>
        <w:i/>
      </w:rPr>
      <w:fldChar w:fldCharType="end"/>
    </w:r>
    <w:r w:rsidRPr="002137FA">
      <w:rPr>
        <w:rStyle w:val="a6"/>
        <w:b/>
        <w:i/>
      </w:rPr>
      <w:t xml:space="preserve"> от </w:t>
    </w:r>
    <w:r w:rsidR="008814E4" w:rsidRPr="002137FA">
      <w:rPr>
        <w:rStyle w:val="a6"/>
        <w:b/>
        <w:i/>
      </w:rPr>
      <w:fldChar w:fldCharType="begin"/>
    </w:r>
    <w:r w:rsidRPr="002137FA">
      <w:rPr>
        <w:rStyle w:val="a6"/>
        <w:b/>
        <w:i/>
      </w:rPr>
      <w:instrText xml:space="preserve"> NUMPAGES </w:instrText>
    </w:r>
    <w:r w:rsidR="008814E4" w:rsidRPr="002137FA">
      <w:rPr>
        <w:rStyle w:val="a6"/>
        <w:b/>
        <w:i/>
      </w:rPr>
      <w:fldChar w:fldCharType="separate"/>
    </w:r>
    <w:r w:rsidR="00167BCC">
      <w:rPr>
        <w:rStyle w:val="a6"/>
        <w:b/>
        <w:i/>
        <w:noProof/>
      </w:rPr>
      <w:t>4</w:t>
    </w:r>
    <w:r w:rsidR="008814E4" w:rsidRPr="002137FA">
      <w:rPr>
        <w:rStyle w:val="a6"/>
        <w:b/>
        <w:i/>
      </w:rPr>
      <w:fldChar w:fldCharType="end"/>
    </w:r>
  </w:p>
  <w:p w:rsidR="00987DC8" w:rsidRPr="003335F7" w:rsidRDefault="00987DC8" w:rsidP="002137FA">
    <w:pPr>
      <w:pStyle w:val="a5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C8" w:rsidRDefault="00DD2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67" w:rsidRDefault="00E05267">
      <w:r>
        <w:separator/>
      </w:r>
    </w:p>
  </w:footnote>
  <w:footnote w:type="continuationSeparator" w:id="0">
    <w:p w:rsidR="00E05267" w:rsidRDefault="00E0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C8" w:rsidRDefault="00DD23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C8" w:rsidRPr="005C0D95" w:rsidRDefault="00987DC8" w:rsidP="002137FA">
    <w:pPr>
      <w:pStyle w:val="3"/>
      <w:spacing w:line="360" w:lineRule="auto"/>
      <w:ind w:firstLine="0"/>
      <w:jc w:val="center"/>
      <w:rPr>
        <w:i/>
        <w:iCs/>
        <w:color w:val="999999"/>
        <w:sz w:val="20"/>
        <w:lang w:val="ru-RU"/>
      </w:rPr>
    </w:pPr>
    <w:r w:rsidRPr="005C0D95">
      <w:rPr>
        <w:i/>
        <w:iCs/>
        <w:color w:val="999999"/>
        <w:sz w:val="20"/>
        <w:lang w:val="ru-RU"/>
      </w:rPr>
      <w:t>Методика за определяне накомплексна оценка на оферта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C8" w:rsidRDefault="00DD23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18"/>
      </v:shape>
    </w:pict>
  </w:numPicBullet>
  <w:abstractNum w:abstractNumId="0">
    <w:nsid w:val="042118B8"/>
    <w:multiLevelType w:val="hybridMultilevel"/>
    <w:tmpl w:val="74543D5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36D"/>
    <w:multiLevelType w:val="hybridMultilevel"/>
    <w:tmpl w:val="E0080D94"/>
    <w:lvl w:ilvl="0" w:tplc="F2ECF42A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474685D"/>
    <w:multiLevelType w:val="hybridMultilevel"/>
    <w:tmpl w:val="F17CC1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B7F82"/>
    <w:multiLevelType w:val="hybridMultilevel"/>
    <w:tmpl w:val="9848A99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lang w:val="ru-RU"/>
      </w:rPr>
    </w:lvl>
    <w:lvl w:ilvl="1" w:tplc="78A8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EF2F8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23ADD"/>
    <w:multiLevelType w:val="hybridMultilevel"/>
    <w:tmpl w:val="B59A706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8189E"/>
    <w:multiLevelType w:val="multilevel"/>
    <w:tmpl w:val="868AC8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A10F8"/>
    <w:multiLevelType w:val="hybridMultilevel"/>
    <w:tmpl w:val="3D0C4BC0"/>
    <w:lvl w:ilvl="0" w:tplc="F2ECF42A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6DB4942"/>
    <w:multiLevelType w:val="hybridMultilevel"/>
    <w:tmpl w:val="FB0474D6"/>
    <w:lvl w:ilvl="0" w:tplc="1E248C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52F0"/>
    <w:multiLevelType w:val="hybridMultilevel"/>
    <w:tmpl w:val="FCE44E0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A2344"/>
    <w:multiLevelType w:val="hybridMultilevel"/>
    <w:tmpl w:val="50BE1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83CDC"/>
    <w:multiLevelType w:val="hybridMultilevel"/>
    <w:tmpl w:val="11DEDFDA"/>
    <w:lvl w:ilvl="0" w:tplc="CF00D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A16983"/>
    <w:multiLevelType w:val="singleLevel"/>
    <w:tmpl w:val="0D6A07FE"/>
    <w:lvl w:ilvl="0">
      <w:start w:val="1"/>
      <w:numFmt w:val="bullet"/>
      <w:pStyle w:val="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</w:abstractNum>
  <w:abstractNum w:abstractNumId="12">
    <w:nsid w:val="3CA54E57"/>
    <w:multiLevelType w:val="hybridMultilevel"/>
    <w:tmpl w:val="43AA41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0432A"/>
    <w:multiLevelType w:val="multilevel"/>
    <w:tmpl w:val="211C9D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FF4001"/>
    <w:multiLevelType w:val="hybridMultilevel"/>
    <w:tmpl w:val="718A37BA"/>
    <w:lvl w:ilvl="0" w:tplc="F2ECF42A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16B3E"/>
    <w:multiLevelType w:val="hybridMultilevel"/>
    <w:tmpl w:val="FD3C6F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D643C"/>
    <w:multiLevelType w:val="hybridMultilevel"/>
    <w:tmpl w:val="211C9D00"/>
    <w:lvl w:ilvl="0" w:tplc="E96682B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A228DC"/>
    <w:multiLevelType w:val="hybridMultilevel"/>
    <w:tmpl w:val="44DE5C24"/>
    <w:lvl w:ilvl="0" w:tplc="4B4041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70B70"/>
    <w:multiLevelType w:val="hybridMultilevel"/>
    <w:tmpl w:val="C04A5E1E"/>
    <w:lvl w:ilvl="0" w:tplc="23EA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D5424"/>
    <w:multiLevelType w:val="hybridMultilevel"/>
    <w:tmpl w:val="13982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51618"/>
    <w:multiLevelType w:val="multilevel"/>
    <w:tmpl w:val="978C53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3AA0E9A"/>
    <w:multiLevelType w:val="hybridMultilevel"/>
    <w:tmpl w:val="0A84AB3C"/>
    <w:lvl w:ilvl="0" w:tplc="EB745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95E4DE7A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lang w:val="bg-BG"/>
      </w:rPr>
    </w:lvl>
    <w:lvl w:ilvl="2" w:tplc="F2ECF42A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445CB2"/>
    <w:multiLevelType w:val="hybridMultilevel"/>
    <w:tmpl w:val="595EF9A2"/>
    <w:lvl w:ilvl="0" w:tplc="869473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"/>
  </w:num>
  <w:num w:numId="5">
    <w:abstractNumId w:val="21"/>
  </w:num>
  <w:num w:numId="6">
    <w:abstractNumId w:val="15"/>
  </w:num>
  <w:num w:numId="7">
    <w:abstractNumId w:val="22"/>
  </w:num>
  <w:num w:numId="8">
    <w:abstractNumId w:val="5"/>
  </w:num>
  <w:num w:numId="9">
    <w:abstractNumId w:val="19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  <w:num w:numId="16">
    <w:abstractNumId w:val="16"/>
  </w:num>
  <w:num w:numId="17">
    <w:abstractNumId w:val="13"/>
  </w:num>
  <w:num w:numId="18">
    <w:abstractNumId w:val="20"/>
  </w:num>
  <w:num w:numId="19">
    <w:abstractNumId w:val="10"/>
  </w:num>
  <w:num w:numId="20">
    <w:abstractNumId w:val="18"/>
  </w:num>
  <w:num w:numId="21">
    <w:abstractNumId w:val="7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AD1"/>
    <w:rsid w:val="000076B2"/>
    <w:rsid w:val="000106E7"/>
    <w:rsid w:val="0002502F"/>
    <w:rsid w:val="000253B8"/>
    <w:rsid w:val="000711DF"/>
    <w:rsid w:val="00073091"/>
    <w:rsid w:val="00077772"/>
    <w:rsid w:val="00082F15"/>
    <w:rsid w:val="00085426"/>
    <w:rsid w:val="000B34FC"/>
    <w:rsid w:val="000B43CE"/>
    <w:rsid w:val="000B5D4F"/>
    <w:rsid w:val="000B6395"/>
    <w:rsid w:val="000C7D74"/>
    <w:rsid w:val="000E082B"/>
    <w:rsid w:val="000F0AC5"/>
    <w:rsid w:val="00100CDA"/>
    <w:rsid w:val="0010444A"/>
    <w:rsid w:val="00104701"/>
    <w:rsid w:val="00111253"/>
    <w:rsid w:val="00126200"/>
    <w:rsid w:val="0012784A"/>
    <w:rsid w:val="00136B32"/>
    <w:rsid w:val="0014092B"/>
    <w:rsid w:val="00141FD2"/>
    <w:rsid w:val="00144546"/>
    <w:rsid w:val="00146954"/>
    <w:rsid w:val="00167BCC"/>
    <w:rsid w:val="00177DDF"/>
    <w:rsid w:val="00182D73"/>
    <w:rsid w:val="001870B4"/>
    <w:rsid w:val="00191333"/>
    <w:rsid w:val="001967C9"/>
    <w:rsid w:val="001976DC"/>
    <w:rsid w:val="001A07B6"/>
    <w:rsid w:val="001A1607"/>
    <w:rsid w:val="001A7E35"/>
    <w:rsid w:val="001B2AD1"/>
    <w:rsid w:val="001C1999"/>
    <w:rsid w:val="001C35C0"/>
    <w:rsid w:val="001C6C8C"/>
    <w:rsid w:val="001E4A22"/>
    <w:rsid w:val="001E6A22"/>
    <w:rsid w:val="001F247F"/>
    <w:rsid w:val="00205E74"/>
    <w:rsid w:val="002129A2"/>
    <w:rsid w:val="002137FA"/>
    <w:rsid w:val="00214468"/>
    <w:rsid w:val="00215842"/>
    <w:rsid w:val="00255B97"/>
    <w:rsid w:val="0025770B"/>
    <w:rsid w:val="00260AAF"/>
    <w:rsid w:val="002621A4"/>
    <w:rsid w:val="00264EC0"/>
    <w:rsid w:val="002653EA"/>
    <w:rsid w:val="002736E4"/>
    <w:rsid w:val="00273BBA"/>
    <w:rsid w:val="00276670"/>
    <w:rsid w:val="002807DE"/>
    <w:rsid w:val="002944F2"/>
    <w:rsid w:val="002A17E5"/>
    <w:rsid w:val="002B27CB"/>
    <w:rsid w:val="002B4250"/>
    <w:rsid w:val="002C1CCA"/>
    <w:rsid w:val="002C573A"/>
    <w:rsid w:val="002D0520"/>
    <w:rsid w:val="002D3B71"/>
    <w:rsid w:val="002D7F0D"/>
    <w:rsid w:val="002E1267"/>
    <w:rsid w:val="002E40E4"/>
    <w:rsid w:val="002E6016"/>
    <w:rsid w:val="002F1CBE"/>
    <w:rsid w:val="002F4445"/>
    <w:rsid w:val="00304251"/>
    <w:rsid w:val="00307E02"/>
    <w:rsid w:val="00310485"/>
    <w:rsid w:val="00320C8B"/>
    <w:rsid w:val="00330385"/>
    <w:rsid w:val="003335F7"/>
    <w:rsid w:val="00350140"/>
    <w:rsid w:val="00352DF1"/>
    <w:rsid w:val="0036266C"/>
    <w:rsid w:val="00373B49"/>
    <w:rsid w:val="00383AED"/>
    <w:rsid w:val="00386BAE"/>
    <w:rsid w:val="003924C2"/>
    <w:rsid w:val="00392A78"/>
    <w:rsid w:val="00394FEA"/>
    <w:rsid w:val="003971BA"/>
    <w:rsid w:val="003A25EE"/>
    <w:rsid w:val="003A4E3E"/>
    <w:rsid w:val="003B48C4"/>
    <w:rsid w:val="003B517A"/>
    <w:rsid w:val="003B73E2"/>
    <w:rsid w:val="003D0AE5"/>
    <w:rsid w:val="003D6C4B"/>
    <w:rsid w:val="003E57C9"/>
    <w:rsid w:val="003F1F5C"/>
    <w:rsid w:val="003F6CD3"/>
    <w:rsid w:val="003F7D1F"/>
    <w:rsid w:val="00401582"/>
    <w:rsid w:val="004021B1"/>
    <w:rsid w:val="00403B19"/>
    <w:rsid w:val="004044DB"/>
    <w:rsid w:val="00404917"/>
    <w:rsid w:val="0041761D"/>
    <w:rsid w:val="004218F0"/>
    <w:rsid w:val="00426671"/>
    <w:rsid w:val="00432673"/>
    <w:rsid w:val="00447F70"/>
    <w:rsid w:val="00453A4C"/>
    <w:rsid w:val="004577A7"/>
    <w:rsid w:val="004636FA"/>
    <w:rsid w:val="004715AC"/>
    <w:rsid w:val="00471B1F"/>
    <w:rsid w:val="0048671D"/>
    <w:rsid w:val="0049175A"/>
    <w:rsid w:val="004A4B78"/>
    <w:rsid w:val="004A6B53"/>
    <w:rsid w:val="004A75A9"/>
    <w:rsid w:val="004B3968"/>
    <w:rsid w:val="004B499E"/>
    <w:rsid w:val="004C6D89"/>
    <w:rsid w:val="004D2CE6"/>
    <w:rsid w:val="004D3308"/>
    <w:rsid w:val="004D7D9A"/>
    <w:rsid w:val="004F529D"/>
    <w:rsid w:val="004F62E3"/>
    <w:rsid w:val="00503963"/>
    <w:rsid w:val="00506921"/>
    <w:rsid w:val="00514A8C"/>
    <w:rsid w:val="00537072"/>
    <w:rsid w:val="00544935"/>
    <w:rsid w:val="0055730D"/>
    <w:rsid w:val="00557BB1"/>
    <w:rsid w:val="005614FB"/>
    <w:rsid w:val="00561F37"/>
    <w:rsid w:val="0056355B"/>
    <w:rsid w:val="00566ABD"/>
    <w:rsid w:val="00570E91"/>
    <w:rsid w:val="00572F41"/>
    <w:rsid w:val="00574273"/>
    <w:rsid w:val="0058112E"/>
    <w:rsid w:val="0058551F"/>
    <w:rsid w:val="005948A0"/>
    <w:rsid w:val="005A2069"/>
    <w:rsid w:val="005A2E0E"/>
    <w:rsid w:val="005B4007"/>
    <w:rsid w:val="005C0CE2"/>
    <w:rsid w:val="005C0D95"/>
    <w:rsid w:val="005C1A02"/>
    <w:rsid w:val="005C288F"/>
    <w:rsid w:val="005D3286"/>
    <w:rsid w:val="005E2490"/>
    <w:rsid w:val="005E3749"/>
    <w:rsid w:val="005E5B1C"/>
    <w:rsid w:val="00606EC4"/>
    <w:rsid w:val="006119A5"/>
    <w:rsid w:val="00614604"/>
    <w:rsid w:val="00617DC8"/>
    <w:rsid w:val="00623C24"/>
    <w:rsid w:val="0062517A"/>
    <w:rsid w:val="00634978"/>
    <w:rsid w:val="00634AA6"/>
    <w:rsid w:val="00640B05"/>
    <w:rsid w:val="00641CDC"/>
    <w:rsid w:val="00644633"/>
    <w:rsid w:val="00645F72"/>
    <w:rsid w:val="006475D2"/>
    <w:rsid w:val="00651776"/>
    <w:rsid w:val="00651BF9"/>
    <w:rsid w:val="00652931"/>
    <w:rsid w:val="00652A7A"/>
    <w:rsid w:val="0066106E"/>
    <w:rsid w:val="00662761"/>
    <w:rsid w:val="00664429"/>
    <w:rsid w:val="00666123"/>
    <w:rsid w:val="006665DE"/>
    <w:rsid w:val="00667A0B"/>
    <w:rsid w:val="00673AC8"/>
    <w:rsid w:val="00683EA8"/>
    <w:rsid w:val="00687037"/>
    <w:rsid w:val="00687D8C"/>
    <w:rsid w:val="006A1068"/>
    <w:rsid w:val="006A5338"/>
    <w:rsid w:val="006B5EB9"/>
    <w:rsid w:val="006C0BCD"/>
    <w:rsid w:val="006D31D5"/>
    <w:rsid w:val="006D439D"/>
    <w:rsid w:val="006E2E88"/>
    <w:rsid w:val="006F361C"/>
    <w:rsid w:val="0070006D"/>
    <w:rsid w:val="0071306C"/>
    <w:rsid w:val="00721E04"/>
    <w:rsid w:val="00723F1E"/>
    <w:rsid w:val="0072706C"/>
    <w:rsid w:val="00727D5C"/>
    <w:rsid w:val="00741A7F"/>
    <w:rsid w:val="00743176"/>
    <w:rsid w:val="00744204"/>
    <w:rsid w:val="0074464C"/>
    <w:rsid w:val="007459A3"/>
    <w:rsid w:val="00764E15"/>
    <w:rsid w:val="00776924"/>
    <w:rsid w:val="0079486E"/>
    <w:rsid w:val="007978A3"/>
    <w:rsid w:val="007A2BAA"/>
    <w:rsid w:val="007A2F04"/>
    <w:rsid w:val="007B0266"/>
    <w:rsid w:val="007B61A5"/>
    <w:rsid w:val="007B70A1"/>
    <w:rsid w:val="007B72D0"/>
    <w:rsid w:val="007D483D"/>
    <w:rsid w:val="007D7392"/>
    <w:rsid w:val="007E796D"/>
    <w:rsid w:val="007F5596"/>
    <w:rsid w:val="007F7799"/>
    <w:rsid w:val="007F78E1"/>
    <w:rsid w:val="008118B8"/>
    <w:rsid w:val="00812E7A"/>
    <w:rsid w:val="00814C57"/>
    <w:rsid w:val="0081699D"/>
    <w:rsid w:val="0082062C"/>
    <w:rsid w:val="0082068C"/>
    <w:rsid w:val="00823AC3"/>
    <w:rsid w:val="00827587"/>
    <w:rsid w:val="00830123"/>
    <w:rsid w:val="00834BC5"/>
    <w:rsid w:val="00835588"/>
    <w:rsid w:val="008408FE"/>
    <w:rsid w:val="00840D69"/>
    <w:rsid w:val="00845DBD"/>
    <w:rsid w:val="00850F47"/>
    <w:rsid w:val="00851A52"/>
    <w:rsid w:val="008807DC"/>
    <w:rsid w:val="008809C9"/>
    <w:rsid w:val="008814E4"/>
    <w:rsid w:val="00893075"/>
    <w:rsid w:val="008A0EDD"/>
    <w:rsid w:val="008A2B65"/>
    <w:rsid w:val="008A2E02"/>
    <w:rsid w:val="008A4D33"/>
    <w:rsid w:val="008C5715"/>
    <w:rsid w:val="008F2166"/>
    <w:rsid w:val="00907B24"/>
    <w:rsid w:val="0092221D"/>
    <w:rsid w:val="00924F8E"/>
    <w:rsid w:val="00927387"/>
    <w:rsid w:val="00932653"/>
    <w:rsid w:val="00934569"/>
    <w:rsid w:val="00934C3F"/>
    <w:rsid w:val="00942F2B"/>
    <w:rsid w:val="00947E59"/>
    <w:rsid w:val="00951D75"/>
    <w:rsid w:val="00960279"/>
    <w:rsid w:val="00962FB3"/>
    <w:rsid w:val="0097008B"/>
    <w:rsid w:val="00981501"/>
    <w:rsid w:val="00987DC8"/>
    <w:rsid w:val="009B330F"/>
    <w:rsid w:val="009B48A6"/>
    <w:rsid w:val="009C1BA0"/>
    <w:rsid w:val="009C5CF5"/>
    <w:rsid w:val="009D1C71"/>
    <w:rsid w:val="009D3A37"/>
    <w:rsid w:val="009E14C8"/>
    <w:rsid w:val="009F2030"/>
    <w:rsid w:val="009F25E6"/>
    <w:rsid w:val="009F439A"/>
    <w:rsid w:val="009F4924"/>
    <w:rsid w:val="00A01E27"/>
    <w:rsid w:val="00A04B37"/>
    <w:rsid w:val="00A0692D"/>
    <w:rsid w:val="00A10DE1"/>
    <w:rsid w:val="00A13002"/>
    <w:rsid w:val="00A13255"/>
    <w:rsid w:val="00A23CAE"/>
    <w:rsid w:val="00A27D8A"/>
    <w:rsid w:val="00A56D99"/>
    <w:rsid w:val="00A854E7"/>
    <w:rsid w:val="00A90AEC"/>
    <w:rsid w:val="00A91476"/>
    <w:rsid w:val="00AA3CCE"/>
    <w:rsid w:val="00AA5986"/>
    <w:rsid w:val="00AA783D"/>
    <w:rsid w:val="00AC2B08"/>
    <w:rsid w:val="00AC5929"/>
    <w:rsid w:val="00AD25E9"/>
    <w:rsid w:val="00AD4468"/>
    <w:rsid w:val="00AD4A95"/>
    <w:rsid w:val="00AE3D56"/>
    <w:rsid w:val="00AF014F"/>
    <w:rsid w:val="00B03E7A"/>
    <w:rsid w:val="00B1171D"/>
    <w:rsid w:val="00B15FF9"/>
    <w:rsid w:val="00B204BF"/>
    <w:rsid w:val="00B31369"/>
    <w:rsid w:val="00B40149"/>
    <w:rsid w:val="00B41C9F"/>
    <w:rsid w:val="00B42A20"/>
    <w:rsid w:val="00B44B0C"/>
    <w:rsid w:val="00BB0150"/>
    <w:rsid w:val="00BB6087"/>
    <w:rsid w:val="00BC18E1"/>
    <w:rsid w:val="00BC7D53"/>
    <w:rsid w:val="00BE01C0"/>
    <w:rsid w:val="00BE2799"/>
    <w:rsid w:val="00BF1A86"/>
    <w:rsid w:val="00BF611C"/>
    <w:rsid w:val="00C04EC1"/>
    <w:rsid w:val="00C142B9"/>
    <w:rsid w:val="00C21612"/>
    <w:rsid w:val="00C25872"/>
    <w:rsid w:val="00C33F74"/>
    <w:rsid w:val="00C37126"/>
    <w:rsid w:val="00C46DE4"/>
    <w:rsid w:val="00C5133C"/>
    <w:rsid w:val="00C6405C"/>
    <w:rsid w:val="00C77F88"/>
    <w:rsid w:val="00C806C1"/>
    <w:rsid w:val="00C870BC"/>
    <w:rsid w:val="00CA4263"/>
    <w:rsid w:val="00CB1CB8"/>
    <w:rsid w:val="00CD74CE"/>
    <w:rsid w:val="00CE03FD"/>
    <w:rsid w:val="00CE232C"/>
    <w:rsid w:val="00CE6A4C"/>
    <w:rsid w:val="00CE72C5"/>
    <w:rsid w:val="00CF1955"/>
    <w:rsid w:val="00CF6EC8"/>
    <w:rsid w:val="00D157B8"/>
    <w:rsid w:val="00D25BF3"/>
    <w:rsid w:val="00D32C48"/>
    <w:rsid w:val="00D431C9"/>
    <w:rsid w:val="00D44D4E"/>
    <w:rsid w:val="00D542AF"/>
    <w:rsid w:val="00D61259"/>
    <w:rsid w:val="00D65953"/>
    <w:rsid w:val="00D75C93"/>
    <w:rsid w:val="00D76A62"/>
    <w:rsid w:val="00D8174E"/>
    <w:rsid w:val="00D82AFD"/>
    <w:rsid w:val="00D82E13"/>
    <w:rsid w:val="00D97903"/>
    <w:rsid w:val="00DA1838"/>
    <w:rsid w:val="00DA313A"/>
    <w:rsid w:val="00DA3528"/>
    <w:rsid w:val="00DA6E30"/>
    <w:rsid w:val="00DB64E2"/>
    <w:rsid w:val="00DB7862"/>
    <w:rsid w:val="00DD23C8"/>
    <w:rsid w:val="00DD73DE"/>
    <w:rsid w:val="00DD7DF4"/>
    <w:rsid w:val="00DE3198"/>
    <w:rsid w:val="00DE6970"/>
    <w:rsid w:val="00DF68F8"/>
    <w:rsid w:val="00DF6CE4"/>
    <w:rsid w:val="00DF703F"/>
    <w:rsid w:val="00E05267"/>
    <w:rsid w:val="00E13495"/>
    <w:rsid w:val="00E13F14"/>
    <w:rsid w:val="00E146A3"/>
    <w:rsid w:val="00E20E86"/>
    <w:rsid w:val="00E47744"/>
    <w:rsid w:val="00E5324E"/>
    <w:rsid w:val="00E5728F"/>
    <w:rsid w:val="00E63735"/>
    <w:rsid w:val="00E73F52"/>
    <w:rsid w:val="00E83D06"/>
    <w:rsid w:val="00E858FF"/>
    <w:rsid w:val="00E9092E"/>
    <w:rsid w:val="00E95067"/>
    <w:rsid w:val="00E9617F"/>
    <w:rsid w:val="00EA6DBF"/>
    <w:rsid w:val="00EA7E91"/>
    <w:rsid w:val="00EB3C9F"/>
    <w:rsid w:val="00EC2DE9"/>
    <w:rsid w:val="00EC3B48"/>
    <w:rsid w:val="00EC63E8"/>
    <w:rsid w:val="00ED351D"/>
    <w:rsid w:val="00ED4930"/>
    <w:rsid w:val="00ED7698"/>
    <w:rsid w:val="00ED7A2C"/>
    <w:rsid w:val="00EE1A8A"/>
    <w:rsid w:val="00F01464"/>
    <w:rsid w:val="00F01BAA"/>
    <w:rsid w:val="00F1111C"/>
    <w:rsid w:val="00F16F35"/>
    <w:rsid w:val="00F22755"/>
    <w:rsid w:val="00F24130"/>
    <w:rsid w:val="00F25248"/>
    <w:rsid w:val="00F3173F"/>
    <w:rsid w:val="00F438A7"/>
    <w:rsid w:val="00F5001E"/>
    <w:rsid w:val="00F50E6C"/>
    <w:rsid w:val="00F56757"/>
    <w:rsid w:val="00F572E7"/>
    <w:rsid w:val="00F609DD"/>
    <w:rsid w:val="00F6195C"/>
    <w:rsid w:val="00F81353"/>
    <w:rsid w:val="00F94146"/>
    <w:rsid w:val="00FA6CCE"/>
    <w:rsid w:val="00FC04B8"/>
    <w:rsid w:val="00FC2F57"/>
    <w:rsid w:val="00FC7352"/>
    <w:rsid w:val="00FC7BAF"/>
    <w:rsid w:val="00FD047E"/>
    <w:rsid w:val="00FD3335"/>
    <w:rsid w:val="00FF1482"/>
    <w:rsid w:val="00FF4714"/>
    <w:rsid w:val="00FF630E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AD1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8F21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qFormat/>
    <w:rsid w:val="00E9617F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8">
    <w:name w:val="heading 8"/>
    <w:basedOn w:val="a0"/>
    <w:next w:val="a0"/>
    <w:qFormat/>
    <w:rsid w:val="00E9617F"/>
    <w:pPr>
      <w:spacing w:before="240" w:after="60"/>
      <w:outlineLvl w:val="7"/>
    </w:pPr>
    <w:rPr>
      <w:i/>
      <w:iCs/>
      <w:lang w:val="en-GB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E9617F"/>
    <w:pPr>
      <w:jc w:val="both"/>
    </w:pPr>
    <w:rPr>
      <w:i/>
      <w:iCs/>
    </w:rPr>
  </w:style>
  <w:style w:type="paragraph" w:styleId="a4">
    <w:name w:val="Body Text Indent"/>
    <w:basedOn w:val="a0"/>
    <w:rsid w:val="00E9617F"/>
    <w:pPr>
      <w:ind w:firstLine="851"/>
    </w:pPr>
    <w:rPr>
      <w:sz w:val="26"/>
      <w:szCs w:val="20"/>
      <w:lang w:val="en-US"/>
    </w:rPr>
  </w:style>
  <w:style w:type="paragraph" w:styleId="3">
    <w:name w:val="Body Text Indent 3"/>
    <w:basedOn w:val="a0"/>
    <w:rsid w:val="00E9617F"/>
    <w:pPr>
      <w:ind w:firstLine="851"/>
      <w:jc w:val="both"/>
    </w:pPr>
    <w:rPr>
      <w:sz w:val="26"/>
      <w:szCs w:val="20"/>
      <w:lang w:val="en-US"/>
    </w:rPr>
  </w:style>
  <w:style w:type="paragraph" w:styleId="20">
    <w:name w:val="Body Text Indent 2"/>
    <w:basedOn w:val="a0"/>
    <w:rsid w:val="00E9617F"/>
    <w:pPr>
      <w:spacing w:before="120"/>
      <w:ind w:firstLine="709"/>
      <w:jc w:val="both"/>
    </w:pPr>
    <w:rPr>
      <w:position w:val="8"/>
      <w:szCs w:val="20"/>
    </w:rPr>
  </w:style>
  <w:style w:type="paragraph" w:styleId="a5">
    <w:name w:val="footer"/>
    <w:basedOn w:val="a0"/>
    <w:rsid w:val="00E9617F"/>
    <w:pPr>
      <w:tabs>
        <w:tab w:val="center" w:pos="4703"/>
        <w:tab w:val="right" w:pos="9406"/>
      </w:tabs>
    </w:pPr>
  </w:style>
  <w:style w:type="character" w:styleId="a6">
    <w:name w:val="page number"/>
    <w:basedOn w:val="a1"/>
    <w:rsid w:val="00E9617F"/>
  </w:style>
  <w:style w:type="paragraph" w:styleId="a7">
    <w:name w:val="header"/>
    <w:basedOn w:val="a0"/>
    <w:rsid w:val="00E9617F"/>
    <w:pPr>
      <w:tabs>
        <w:tab w:val="center" w:pos="4703"/>
        <w:tab w:val="right" w:pos="9406"/>
      </w:tabs>
    </w:pPr>
  </w:style>
  <w:style w:type="paragraph" w:styleId="a8">
    <w:name w:val="Balloon Text"/>
    <w:basedOn w:val="a0"/>
    <w:semiHidden/>
    <w:rsid w:val="00E47744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5B4007"/>
    <w:pPr>
      <w:spacing w:after="120"/>
    </w:pPr>
  </w:style>
  <w:style w:type="table" w:styleId="aa">
    <w:name w:val="Table Grid"/>
    <w:basedOn w:val="a2"/>
    <w:rsid w:val="00AC5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sid w:val="005948A0"/>
    <w:rPr>
      <w:sz w:val="16"/>
      <w:szCs w:val="16"/>
    </w:rPr>
  </w:style>
  <w:style w:type="paragraph" w:styleId="ac">
    <w:name w:val="annotation text"/>
    <w:basedOn w:val="a0"/>
    <w:semiHidden/>
    <w:rsid w:val="005948A0"/>
    <w:rPr>
      <w:sz w:val="20"/>
      <w:szCs w:val="20"/>
    </w:rPr>
  </w:style>
  <w:style w:type="paragraph" w:styleId="ad">
    <w:name w:val="annotation subject"/>
    <w:basedOn w:val="ac"/>
    <w:next w:val="ac"/>
    <w:semiHidden/>
    <w:rsid w:val="005948A0"/>
    <w:rPr>
      <w:b/>
      <w:bCs/>
    </w:rPr>
  </w:style>
  <w:style w:type="paragraph" w:customStyle="1" w:styleId="CharCharCharCharCharCharChar1">
    <w:name w:val="Char Char Char Char Char Char Char1"/>
    <w:basedOn w:val="a0"/>
    <w:rsid w:val="00AA783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">
    <w:name w:val="List Bullet"/>
    <w:basedOn w:val="a0"/>
    <w:rsid w:val="007459A3"/>
    <w:pPr>
      <w:numPr>
        <w:numId w:val="14"/>
      </w:numPr>
      <w:spacing w:line="288" w:lineRule="auto"/>
      <w:jc w:val="both"/>
    </w:pPr>
  </w:style>
  <w:style w:type="paragraph" w:customStyle="1" w:styleId="NormalParagraph">
    <w:name w:val="Normal Paragraph"/>
    <w:basedOn w:val="a0"/>
    <w:rsid w:val="00F94146"/>
    <w:pPr>
      <w:widowControl w:val="0"/>
      <w:spacing w:after="120"/>
    </w:pPr>
    <w:rPr>
      <w:snapToGrid w:val="0"/>
      <w:sz w:val="22"/>
      <w:szCs w:val="22"/>
      <w:lang w:val="en-GB"/>
    </w:rPr>
  </w:style>
  <w:style w:type="paragraph" w:customStyle="1" w:styleId="CharCharCharCharCharCharChar">
    <w:name w:val="Char Char Char Char Char Char Char"/>
    <w:basedOn w:val="a0"/>
    <w:rsid w:val="001278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">
    <w:name w:val="Char Char Char1 Char"/>
    <w:basedOn w:val="a0"/>
    <w:rsid w:val="00AC2B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0"/>
    <w:rsid w:val="0030425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link w:val="6"/>
    <w:rsid w:val="00D32C48"/>
    <w:rPr>
      <w:b/>
      <w:bCs/>
      <w:sz w:val="22"/>
      <w:szCs w:val="22"/>
      <w:lang w:val="en-GB" w:eastAsia="en-US" w:bidi="ar-SA"/>
    </w:rPr>
  </w:style>
  <w:style w:type="character" w:styleId="ae">
    <w:name w:val="Hyperlink"/>
    <w:rsid w:val="00D32C48"/>
    <w:rPr>
      <w:color w:val="0000FF"/>
      <w:u w:val="single"/>
    </w:rPr>
  </w:style>
  <w:style w:type="paragraph" w:customStyle="1" w:styleId="CharCharChar1CharCharCharCharCharCharCharCharCharCharChar">
    <w:name w:val="Char Char Char1 Char Char Char Char Char Char Char Char Char Char Char"/>
    <w:basedOn w:val="a0"/>
    <w:rsid w:val="00942F2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a0"/>
    <w:rsid w:val="00F56757"/>
    <w:pPr>
      <w:ind w:left="720"/>
    </w:pPr>
    <w:rPr>
      <w:sz w:val="20"/>
      <w:szCs w:val="20"/>
      <w:lang w:val="en-US"/>
    </w:rPr>
  </w:style>
  <w:style w:type="paragraph" w:styleId="30">
    <w:name w:val="Body Text 3"/>
    <w:basedOn w:val="a0"/>
    <w:link w:val="31"/>
    <w:rsid w:val="00CB1CB8"/>
    <w:pPr>
      <w:spacing w:after="120"/>
    </w:pPr>
    <w:rPr>
      <w:sz w:val="16"/>
      <w:szCs w:val="16"/>
      <w:lang w:eastAsia="bg-BG"/>
    </w:rPr>
  </w:style>
  <w:style w:type="character" w:customStyle="1" w:styleId="31">
    <w:name w:val="Основен текст 3 Знак"/>
    <w:link w:val="30"/>
    <w:semiHidden/>
    <w:locked/>
    <w:rsid w:val="00CB1CB8"/>
    <w:rPr>
      <w:sz w:val="16"/>
      <w:szCs w:val="16"/>
      <w:lang w:val="bg-BG" w:eastAsia="bg-BG" w:bidi="ar-SA"/>
    </w:rPr>
  </w:style>
  <w:style w:type="character" w:customStyle="1" w:styleId="10">
    <w:name w:val="Заглавие 1 Знак"/>
    <w:link w:val="1"/>
    <w:rsid w:val="008F216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Bulgargaz EAD</Company>
  <LinksUpToDate>false</LinksUpToDate>
  <CharactersWithSpaces>4468</CharactersWithSpaces>
  <SharedDoc>false</SharedDoc>
  <HLinks>
    <vt:vector size="6" baseType="variant">
      <vt:variant>
        <vt:i4>72876057</vt:i4>
      </vt:variant>
      <vt:variant>
        <vt:i4>0</vt:i4>
      </vt:variant>
      <vt:variant>
        <vt:i4>0</vt:i4>
      </vt:variant>
      <vt:variant>
        <vt:i4>5</vt:i4>
      </vt:variant>
      <vt:variant>
        <vt:lpwstr>http://www.opе.government.bg/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Asen Atanasov</dc:creator>
  <cp:keywords/>
  <dc:description/>
  <cp:lastModifiedBy>k</cp:lastModifiedBy>
  <cp:revision>14</cp:revision>
  <cp:lastPrinted>2016-02-29T07:13:00Z</cp:lastPrinted>
  <dcterms:created xsi:type="dcterms:W3CDTF">2016-02-16T11:54:00Z</dcterms:created>
  <dcterms:modified xsi:type="dcterms:W3CDTF">2016-02-29T07:15:00Z</dcterms:modified>
</cp:coreProperties>
</file>