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18" w:rsidRDefault="00703D18" w:rsidP="00703D18">
      <w:pPr>
        <w:spacing w:before="120" w:after="120" w:line="360" w:lineRule="auto"/>
        <w:jc w:val="center"/>
        <w:rPr>
          <w:rFonts w:eastAsia="MS ??"/>
          <w:caps/>
        </w:rPr>
      </w:pPr>
      <w:bookmarkStart w:id="0" w:name="_GoBack"/>
      <w:bookmarkEnd w:id="0"/>
      <w:r w:rsidRPr="00703D18">
        <w:rPr>
          <w:b/>
        </w:rPr>
        <w:t>ТЕХНИЧЕСКИ</w:t>
      </w:r>
      <w:r w:rsidR="00500C55">
        <w:rPr>
          <w:rFonts w:eastAsia="MS ??"/>
          <w:b/>
          <w:caps/>
        </w:rPr>
        <w:t xml:space="preserve"> СПЕЦИФИКАЦИи</w:t>
      </w:r>
    </w:p>
    <w:p w:rsidR="00703D18" w:rsidRDefault="00703D18" w:rsidP="00703D18">
      <w:pPr>
        <w:spacing w:line="276" w:lineRule="auto"/>
        <w:jc w:val="both"/>
        <w:rPr>
          <w:b/>
          <w:i/>
        </w:rPr>
      </w:pPr>
      <w:r>
        <w:t xml:space="preserve">във връзка с </w:t>
      </w:r>
      <w:r w:rsidRPr="00CA6D02">
        <w:t xml:space="preserve">процедура на договаряне без предварително обявление е за възлагане на обществена поръчка с предмет </w:t>
      </w:r>
      <w:r w:rsidRPr="00CA6D02">
        <w:rPr>
          <w:b/>
          <w:i/>
        </w:rPr>
        <w:t>„Изработване на инвестиционен проект във фаза „Работен проект“, въз основа на изработен и одобрен Идеен инвестиционен проект и упражняване на авторски надзор за нуждите на проект:  „</w:t>
      </w:r>
      <w:proofErr w:type="spellStart"/>
      <w:r w:rsidRPr="00CA6D02">
        <w:rPr>
          <w:b/>
          <w:i/>
        </w:rPr>
        <w:t>Хаманджия</w:t>
      </w:r>
      <w:proofErr w:type="spellEnd"/>
      <w:r w:rsidRPr="00CA6D02">
        <w:rPr>
          <w:b/>
          <w:i/>
        </w:rPr>
        <w:t xml:space="preserve"> – Дуранкулак – първата европейска </w:t>
      </w:r>
      <w:proofErr w:type="spellStart"/>
      <w:r w:rsidRPr="00CA6D02">
        <w:rPr>
          <w:b/>
          <w:i/>
        </w:rPr>
        <w:t>прото</w:t>
      </w:r>
      <w:proofErr w:type="spellEnd"/>
      <w:r w:rsidRPr="00CA6D02">
        <w:rPr>
          <w:b/>
          <w:i/>
        </w:rPr>
        <w:t xml:space="preserve"> цивилизация“ по програма за трансгранично сътрудничество Румъния –България 2014-2020”.</w:t>
      </w:r>
    </w:p>
    <w:p w:rsidR="00703D18" w:rsidRPr="00703D18" w:rsidRDefault="00703D18" w:rsidP="00703D18">
      <w:pPr>
        <w:spacing w:line="276" w:lineRule="auto"/>
        <w:jc w:val="both"/>
        <w:rPr>
          <w:b/>
          <w:i/>
        </w:rPr>
      </w:pPr>
    </w:p>
    <w:p w:rsidR="00500C55" w:rsidRDefault="00500C55" w:rsidP="00703D18">
      <w:pPr>
        <w:spacing w:before="120" w:after="120" w:line="360" w:lineRule="auto"/>
        <w:jc w:val="both"/>
      </w:pPr>
      <w:r>
        <w:rPr>
          <w:b/>
          <w:bCs/>
          <w:u w:val="single"/>
        </w:rPr>
        <w:t>ВЪЗЛОЖИТЕЛ</w:t>
      </w:r>
      <w:r w:rsidRPr="007C76F2">
        <w:rPr>
          <w:b/>
          <w:bCs/>
          <w:u w:val="single"/>
        </w:rPr>
        <w:t>:</w:t>
      </w:r>
      <w:r w:rsidRPr="007C76F2">
        <w:t xml:space="preserve"> </w:t>
      </w:r>
      <w:r>
        <w:t xml:space="preserve">Община Шабла </w:t>
      </w:r>
    </w:p>
    <w:p w:rsidR="00500C55" w:rsidRDefault="00500C55" w:rsidP="00500C55">
      <w:pPr>
        <w:jc w:val="both"/>
      </w:pPr>
      <w:r w:rsidRPr="00465702">
        <w:t xml:space="preserve"> </w:t>
      </w:r>
    </w:p>
    <w:p w:rsidR="00500C55" w:rsidRDefault="00500C55" w:rsidP="00500C55">
      <w:pPr>
        <w:jc w:val="both"/>
        <w:rPr>
          <w:b/>
        </w:rPr>
      </w:pPr>
      <w:r>
        <w:rPr>
          <w:b/>
          <w:bCs/>
          <w:u w:val="single"/>
        </w:rPr>
        <w:t>ОБЕКТ:</w:t>
      </w:r>
      <w:r w:rsidRPr="00B348E6">
        <w:rPr>
          <w:b/>
        </w:rPr>
        <w:t xml:space="preserve"> </w:t>
      </w:r>
      <w:r>
        <w:rPr>
          <w:b/>
        </w:rPr>
        <w:t>„Археологически парк „</w:t>
      </w:r>
      <w:proofErr w:type="spellStart"/>
      <w:r>
        <w:rPr>
          <w:b/>
        </w:rPr>
        <w:t>Дуранкулак-Хаманджия</w:t>
      </w:r>
      <w:proofErr w:type="spellEnd"/>
      <w:r>
        <w:rPr>
          <w:b/>
        </w:rPr>
        <w:t>“</w:t>
      </w:r>
    </w:p>
    <w:p w:rsidR="00500C55" w:rsidRPr="00B348E6" w:rsidRDefault="00500C55" w:rsidP="00500C55">
      <w:pPr>
        <w:jc w:val="both"/>
      </w:pPr>
    </w:p>
    <w:p w:rsidR="00500C55" w:rsidRDefault="00500C55" w:rsidP="00500C55">
      <w:pPr>
        <w:jc w:val="both"/>
      </w:pPr>
      <w:r>
        <w:rPr>
          <w:b/>
          <w:bCs/>
          <w:u w:val="single"/>
        </w:rPr>
        <w:t>ФАЗА</w:t>
      </w:r>
      <w:r w:rsidRPr="007C76F2">
        <w:rPr>
          <w:b/>
          <w:bCs/>
          <w:u w:val="single"/>
        </w:rPr>
        <w:t>:</w:t>
      </w:r>
      <w:r w:rsidRPr="007C76F2">
        <w:t xml:space="preserve"> </w:t>
      </w:r>
      <w:r w:rsidRPr="00465702">
        <w:t>Работен проект</w:t>
      </w:r>
      <w:r>
        <w:t xml:space="preserve"> </w:t>
      </w:r>
    </w:p>
    <w:p w:rsidR="00500C55" w:rsidRDefault="00500C55" w:rsidP="00500C55">
      <w:pPr>
        <w:ind w:left="2520" w:firstLine="360"/>
        <w:jc w:val="both"/>
        <w:rPr>
          <w:b/>
          <w:bCs/>
        </w:rPr>
      </w:pPr>
    </w:p>
    <w:p w:rsidR="00500C55" w:rsidRDefault="00500C55" w:rsidP="00500C55">
      <w:pPr>
        <w:numPr>
          <w:ilvl w:val="0"/>
          <w:numId w:val="1"/>
        </w:numPr>
        <w:spacing w:before="240" w:after="240"/>
        <w:ind w:left="709" w:hanging="284"/>
        <w:rPr>
          <w:b/>
          <w:bCs/>
        </w:rPr>
      </w:pPr>
      <w:r>
        <w:rPr>
          <w:b/>
        </w:rPr>
        <w:t>Обща част</w:t>
      </w:r>
      <w:r w:rsidR="00851E91">
        <w:rPr>
          <w:b/>
        </w:rPr>
        <w:t>, проектна готовност</w:t>
      </w:r>
    </w:p>
    <w:p w:rsidR="00213122" w:rsidRDefault="00500C55" w:rsidP="00500C55">
      <w:pPr>
        <w:spacing w:before="120" w:after="120"/>
        <w:ind w:firstLine="709"/>
        <w:jc w:val="both"/>
      </w:pPr>
      <w:r>
        <w:t xml:space="preserve">Настоящият документ представлява технически спецификации по смисъла на </w:t>
      </w:r>
      <w:r w:rsidR="00F57025">
        <w:t xml:space="preserve">разпоредбата на </w:t>
      </w:r>
      <w:r w:rsidR="00F57025" w:rsidRPr="00F57025">
        <w:t>§</w:t>
      </w:r>
      <w:r w:rsidR="00F57025">
        <w:t xml:space="preserve"> 2, т. 54, буква „б“ от Допълнителните разпоредби на Закона за обществените поръчки</w:t>
      </w:r>
      <w:r w:rsidR="00105282">
        <w:t>, но не и задание за проектиране</w:t>
      </w:r>
      <w:r w:rsidR="00F57025">
        <w:t>. Същевременно следва да се отбележи, че към документа като самостоятелно приложение са приложени изработени части на инвестиционния проект, описани по-долу и същите са във фаза „идеен проект“. Предвид последното, к</w:t>
      </w:r>
      <w:r w:rsidR="00EF67A6">
        <w:t>акто и на основание разпоредбите</w:t>
      </w:r>
      <w:r w:rsidR="00F57025">
        <w:t xml:space="preserve"> на </w:t>
      </w:r>
      <w:r w:rsidR="00EF67A6">
        <w:t xml:space="preserve">чл. 141, ал. 9 от закона за устройство на територията </w:t>
      </w:r>
      <w:r w:rsidR="00D43011">
        <w:t xml:space="preserve">(ЗУТ) </w:t>
      </w:r>
      <w:r w:rsidR="00EF67A6">
        <w:t xml:space="preserve">и </w:t>
      </w:r>
      <w:r w:rsidR="00F57025">
        <w:t xml:space="preserve">чл. </w:t>
      </w:r>
      <w:r w:rsidR="00105282">
        <w:t xml:space="preserve">15, ал. 2 от Наредба № 4 от 21.05.2001 г. за обхвата и съдържанието на инвестиционните проекти, идейният инвестиционен проект служи за задание за проектиране на работния инвестиционен </w:t>
      </w:r>
      <w:r w:rsidR="00105282" w:rsidRPr="00213122">
        <w:t>проект, предмет на поръчката.</w:t>
      </w:r>
    </w:p>
    <w:p w:rsidR="00500C55" w:rsidRDefault="00213122" w:rsidP="00500C55">
      <w:pPr>
        <w:spacing w:before="120" w:after="120"/>
        <w:ind w:firstLine="709"/>
        <w:jc w:val="both"/>
      </w:pPr>
      <w:r>
        <w:t xml:space="preserve">Извън горното, </w:t>
      </w:r>
      <w:r w:rsidR="000657D1">
        <w:t xml:space="preserve">идейният инвестиционен проект е одобрен по реда на приложимото законодателство и на негова база е издадено разрешение за строеж № 2/18.02.2016 г. (предстои неговото </w:t>
      </w:r>
      <w:proofErr w:type="spellStart"/>
      <w:r w:rsidR="000657D1">
        <w:t>презаверяване</w:t>
      </w:r>
      <w:proofErr w:type="spellEnd"/>
      <w:r w:rsidR="000657D1">
        <w:t xml:space="preserve">), както и разрешение за поставяне предвид обхвата на работите № 26/12.10.2017 г. Горните документи също са приложения към настоящата спецификация. Следва да се отбележи, че последният цитиран документ обхваща само част от </w:t>
      </w:r>
      <w:proofErr w:type="spellStart"/>
      <w:r w:rsidR="000657D1">
        <w:t>преместваемите</w:t>
      </w:r>
      <w:proofErr w:type="spellEnd"/>
      <w:r w:rsidR="000657D1">
        <w:t xml:space="preserve"> обекти, предвидени съобразно обхвата на одобрения проект</w:t>
      </w:r>
      <w:r w:rsidR="00A66680">
        <w:t xml:space="preserve"> и предмет на работно проектиране са само обектите, включени в разрешението за поставяне</w:t>
      </w:r>
      <w:r w:rsidR="000657D1">
        <w:t>.</w:t>
      </w:r>
      <w:r w:rsidR="00105282">
        <w:t xml:space="preserve"> </w:t>
      </w:r>
      <w:r w:rsidR="00F57025">
        <w:t xml:space="preserve"> </w:t>
      </w:r>
    </w:p>
    <w:p w:rsidR="00D43011" w:rsidRPr="00500C55" w:rsidRDefault="00D43011" w:rsidP="00500C55">
      <w:pPr>
        <w:spacing w:before="120" w:after="120"/>
        <w:ind w:firstLine="709"/>
        <w:jc w:val="both"/>
      </w:pPr>
      <w:r>
        <w:t>В рамките на настоящата обществена поръчка се възлага и изпълнение на авторски надзор като участник в строителството по смисъла на ЗУТ.</w:t>
      </w:r>
    </w:p>
    <w:p w:rsidR="000657D1" w:rsidRPr="000657D1" w:rsidRDefault="000657D1" w:rsidP="000657D1">
      <w:pPr>
        <w:numPr>
          <w:ilvl w:val="0"/>
          <w:numId w:val="1"/>
        </w:numPr>
        <w:spacing w:before="240" w:after="240"/>
        <w:ind w:left="284" w:firstLine="709"/>
        <w:jc w:val="both"/>
        <w:rPr>
          <w:b/>
        </w:rPr>
      </w:pPr>
      <w:r>
        <w:rPr>
          <w:b/>
          <w:bCs/>
        </w:rPr>
        <w:lastRenderedPageBreak/>
        <w:t>М</w:t>
      </w:r>
      <w:r w:rsidRPr="000657D1">
        <w:rPr>
          <w:b/>
          <w:bCs/>
        </w:rPr>
        <w:t>естоположение, същес</w:t>
      </w:r>
      <w:r>
        <w:rPr>
          <w:b/>
          <w:bCs/>
        </w:rPr>
        <w:t xml:space="preserve">твуващо положение. </w:t>
      </w:r>
      <w:r>
        <w:rPr>
          <w:b/>
          <w:bCs/>
        </w:rPr>
        <w:tab/>
        <w:t xml:space="preserve">Други изходни данни за проектиране </w:t>
      </w:r>
    </w:p>
    <w:p w:rsidR="000657D1" w:rsidRDefault="000657D1" w:rsidP="00851E91">
      <w:pPr>
        <w:spacing w:before="240" w:after="240"/>
        <w:ind w:firstLine="709"/>
        <w:jc w:val="both"/>
      </w:pPr>
      <w:r>
        <w:t xml:space="preserve">По-долу са посочени </w:t>
      </w:r>
      <w:r w:rsidR="00851E91">
        <w:t>други данни и информация, свързани с обхвана на инвестиционното строително намерение, използвани при разработването на идейния инвестиционен проект, но касаещи и следващата (работна) фаза, предмет на настоящата поръчка, а именно:</w:t>
      </w:r>
    </w:p>
    <w:p w:rsidR="00851E91" w:rsidRPr="008A385C" w:rsidRDefault="00A66680" w:rsidP="00851E91">
      <w:pPr>
        <w:spacing w:before="120"/>
        <w:jc w:val="both"/>
      </w:pPr>
      <w:r>
        <w:rPr>
          <w:b/>
        </w:rPr>
        <w:t xml:space="preserve">1. </w:t>
      </w:r>
      <w:r w:rsidR="00851E91" w:rsidRPr="008A385C">
        <w:rPr>
          <w:b/>
        </w:rPr>
        <w:t>Въвеждаща информация, относно проект “</w:t>
      </w:r>
      <w:proofErr w:type="spellStart"/>
      <w:r w:rsidR="00851E91" w:rsidRPr="008A385C">
        <w:rPr>
          <w:b/>
        </w:rPr>
        <w:t>Хаманджия</w:t>
      </w:r>
      <w:proofErr w:type="spellEnd"/>
      <w:r w:rsidR="00851E91" w:rsidRPr="008A385C">
        <w:rPr>
          <w:b/>
        </w:rPr>
        <w:t xml:space="preserve"> – Дуранкулак – първата европейска </w:t>
      </w:r>
      <w:proofErr w:type="spellStart"/>
      <w:r w:rsidR="00851E91" w:rsidRPr="008A385C">
        <w:rPr>
          <w:b/>
        </w:rPr>
        <w:t>прото</w:t>
      </w:r>
      <w:proofErr w:type="spellEnd"/>
      <w:r w:rsidR="00851E91" w:rsidRPr="008A385C">
        <w:rPr>
          <w:b/>
        </w:rPr>
        <w:t xml:space="preserve"> цивилизация”</w:t>
      </w:r>
      <w:r w:rsidR="00851E91">
        <w:rPr>
          <w:b/>
        </w:rPr>
        <w:t xml:space="preserve"> </w:t>
      </w:r>
      <w:r w:rsidR="00851E91" w:rsidRPr="008A385C">
        <w:rPr>
          <w:b/>
        </w:rPr>
        <w:t>(резюме-същност, моментно състояние и цели на проекта)</w:t>
      </w:r>
      <w:r w:rsidR="00851E91" w:rsidRPr="008A385C">
        <w:t>:</w:t>
      </w:r>
    </w:p>
    <w:p w:rsidR="00851E91" w:rsidRPr="008A385C" w:rsidRDefault="00B025C4" w:rsidP="00851E91">
      <w:pPr>
        <w:spacing w:before="120"/>
        <w:jc w:val="both"/>
        <w:rPr>
          <w:b/>
        </w:rPr>
      </w:pPr>
      <w:r>
        <w:tab/>
      </w:r>
      <w:r w:rsidR="00851E91" w:rsidRPr="008A385C">
        <w:t xml:space="preserve">Към днешна дата археологическият обект Селищната могила „Големия остров” в </w:t>
      </w:r>
      <w:proofErr w:type="spellStart"/>
      <w:r w:rsidR="00851E91" w:rsidRPr="008A385C">
        <w:t>Дуранкулашкото</w:t>
      </w:r>
      <w:proofErr w:type="spellEnd"/>
      <w:r w:rsidR="00851E91" w:rsidRPr="008A385C">
        <w:t xml:space="preserve"> езеро е най-големият изследван обект от V хил. пр. Хр. на Стария континент, паметник на културата с национално значение. Той представлява най-ранният център на европейска цивилизация от каменно-медната епоха – културата </w:t>
      </w:r>
      <w:proofErr w:type="spellStart"/>
      <w:r w:rsidR="00851E91" w:rsidRPr="008A385C">
        <w:t>Хаманджия</w:t>
      </w:r>
      <w:proofErr w:type="spellEnd"/>
      <w:r w:rsidR="00851E91" w:rsidRPr="008A385C">
        <w:t>. Характеризира се с най-старата каменна архитектура в континентална Европа.</w:t>
      </w:r>
    </w:p>
    <w:p w:rsidR="00851E91" w:rsidRPr="008A385C" w:rsidRDefault="00B025C4" w:rsidP="00851E91">
      <w:pPr>
        <w:spacing w:before="120"/>
        <w:jc w:val="both"/>
      </w:pPr>
      <w:r>
        <w:tab/>
      </w:r>
      <w:r w:rsidR="00851E91" w:rsidRPr="008A385C">
        <w:t xml:space="preserve">Археологическият парк обхваща както Селищната могила на Големия остров, така и югозападното крайбрежие на езерото, където са открити и проучени некрополите на селищата, съществували върху „Големия остров”. На южния бряг на острова на  26 м навътре в скалния масив е изсечен </w:t>
      </w:r>
      <w:proofErr w:type="spellStart"/>
      <w:r w:rsidR="00851E91" w:rsidRPr="008A385C">
        <w:t>елинистически</w:t>
      </w:r>
      <w:proofErr w:type="spellEnd"/>
      <w:r w:rsidR="00851E91" w:rsidRPr="008A385C">
        <w:t xml:space="preserve"> пещерен храм на богинята </w:t>
      </w:r>
      <w:proofErr w:type="spellStart"/>
      <w:r w:rsidR="00851E91" w:rsidRPr="008A385C">
        <w:t>Кибела</w:t>
      </w:r>
      <w:proofErr w:type="spellEnd"/>
      <w:r w:rsidR="00851E91" w:rsidRPr="008A385C">
        <w:t xml:space="preserve"> (III в. пр. Хр.). </w:t>
      </w:r>
      <w:proofErr w:type="spellStart"/>
      <w:r w:rsidR="00851E91" w:rsidRPr="008A385C">
        <w:t>Дуранкулашкото</w:t>
      </w:r>
      <w:proofErr w:type="spellEnd"/>
      <w:r w:rsidR="00851E91" w:rsidRPr="008A385C">
        <w:t xml:space="preserve"> езеро и прилежаща крайбрежна зона попадат в защитената зона НАТУРА 2000. Езерото е сред най-значимите влажни зони по </w:t>
      </w:r>
      <w:proofErr w:type="spellStart"/>
      <w:r w:rsidR="00851E91" w:rsidRPr="008A385C">
        <w:t>миграциония</w:t>
      </w:r>
      <w:proofErr w:type="spellEnd"/>
      <w:r w:rsidR="00851E91" w:rsidRPr="008A385C">
        <w:t xml:space="preserve"> път </w:t>
      </w:r>
      <w:proofErr w:type="spellStart"/>
      <w:r w:rsidR="00851E91" w:rsidRPr="008A385C">
        <w:t>Via</w:t>
      </w:r>
      <w:proofErr w:type="spellEnd"/>
      <w:r w:rsidR="00851E91" w:rsidRPr="008A385C">
        <w:t xml:space="preserve"> </w:t>
      </w:r>
      <w:proofErr w:type="spellStart"/>
      <w:r w:rsidR="00851E91" w:rsidRPr="008A385C">
        <w:t>Pontica</w:t>
      </w:r>
      <w:proofErr w:type="spellEnd"/>
      <w:r w:rsidR="00851E91" w:rsidRPr="008A385C">
        <w:t xml:space="preserve">, защитено и от  </w:t>
      </w:r>
      <w:proofErr w:type="spellStart"/>
      <w:r w:rsidR="00851E91" w:rsidRPr="008A385C">
        <w:t>Рамсарската</w:t>
      </w:r>
      <w:proofErr w:type="spellEnd"/>
      <w:r w:rsidR="00851E91" w:rsidRPr="008A385C">
        <w:t xml:space="preserve"> конвенция. </w:t>
      </w:r>
      <w:proofErr w:type="spellStart"/>
      <w:r w:rsidR="00851E91" w:rsidRPr="008A385C">
        <w:t>Дуранкулашкото</w:t>
      </w:r>
      <w:proofErr w:type="spellEnd"/>
      <w:r w:rsidR="00851E91" w:rsidRPr="008A385C">
        <w:t xml:space="preserve"> езеро и езерата от Шабленския езерен комплекс са единствените крайбрежни лимани по българското Черноморие със запазен естествен характер. </w:t>
      </w:r>
    </w:p>
    <w:p w:rsidR="00851E91" w:rsidRPr="008A385C" w:rsidRDefault="00A66680" w:rsidP="00851E91">
      <w:pPr>
        <w:spacing w:before="120"/>
        <w:jc w:val="both"/>
      </w:pPr>
      <w:r>
        <w:rPr>
          <w:b/>
        </w:rPr>
        <w:t xml:space="preserve">2. </w:t>
      </w:r>
      <w:r w:rsidR="00851E91" w:rsidRPr="008A385C">
        <w:rPr>
          <w:b/>
        </w:rPr>
        <w:t>Моментно състояние на археологическия парк:</w:t>
      </w:r>
      <w:r w:rsidR="00851E91" w:rsidRPr="008A385C">
        <w:t xml:space="preserve"> </w:t>
      </w:r>
    </w:p>
    <w:p w:rsidR="00851E91" w:rsidRPr="008A385C" w:rsidRDefault="00B025C4" w:rsidP="00851E91">
      <w:pPr>
        <w:spacing w:before="120"/>
        <w:jc w:val="both"/>
        <w:rPr>
          <w:highlight w:val="yellow"/>
        </w:rPr>
      </w:pPr>
      <w:r>
        <w:tab/>
      </w:r>
      <w:r w:rsidR="00851E91" w:rsidRPr="008A385C">
        <w:t xml:space="preserve">В момента състоянието на археологическия парк, от туристическа гледна точка, е незадоволително, въпреки усилията за неговото устройство, положени в периода от започването на археологическите проучвания през1974 г. до ден днешен. Общо заключение на направеното до този момент се свежда до частични решения на отделни проблеми без да се формулира и отстоява цялостна идея за социализацията на отделните археологическите обекти. Селищната могила няма вид на добре поддържан и подходящо експониран археологически обект. Въпреки желанието на местната власт и полаганите усилия за периодично почистване и поддържане нерядко бурените и храстите надделяват и закриват изцяло запазените археологически структури на Големия остров. Липсват табели и адекватни източници на информация. Храмът на </w:t>
      </w:r>
      <w:proofErr w:type="spellStart"/>
      <w:r w:rsidR="00851E91" w:rsidRPr="008A385C">
        <w:t>Кибела</w:t>
      </w:r>
      <w:proofErr w:type="spellEnd"/>
      <w:r w:rsidR="00851E91" w:rsidRPr="008A385C">
        <w:t xml:space="preserve"> е наводнен и обрасъл с </w:t>
      </w:r>
      <w:proofErr w:type="spellStart"/>
      <w:r w:rsidR="00851E91" w:rsidRPr="008A385C">
        <w:t>водолюбива</w:t>
      </w:r>
      <w:proofErr w:type="spellEnd"/>
      <w:r w:rsidR="00851E91" w:rsidRPr="008A385C">
        <w:t xml:space="preserve"> растителност. Предпазният покрив е с напълно компрометирана конструкция и може да се срути всеки момент. Липсва обезопасяване на стръмните места.</w:t>
      </w:r>
    </w:p>
    <w:p w:rsidR="00851E91" w:rsidRPr="008A385C" w:rsidRDefault="00B025C4" w:rsidP="00851E91">
      <w:pPr>
        <w:spacing w:before="120"/>
        <w:jc w:val="both"/>
      </w:pPr>
      <w:r>
        <w:lastRenderedPageBreak/>
        <w:tab/>
      </w:r>
      <w:r w:rsidR="00851E91" w:rsidRPr="008A385C">
        <w:t xml:space="preserve">По проект „Създаване на екологично и културно туристически продукт „Селищна могила на Големия остров“, с. Дуранкулак, общ. Шабла“, Договор № 08/313/00200/19.11.2012, финансиран по Програма за развитие на селските райони, община Шабла извърши следните дейности: към Големия остров частично бе изградена дървена наколна пътека с дължина 60 метра, осигуряваща достъп до Големия остров, от едната страна на която има 30 метров участък, където няма изградена такава, а в другия край връзката между пътеката и съществуващото старо амортизирано стълбище не е решена по подходящ начин. От международен път I-9 съществува тесен асфалтов път с нарушена настилка и дължина 550 м, до него е изградено уширение - паркинг с 20 паркоместа за леки автомобили; в близост до подхода към острова е ситуиран дървен навес-приемна, изпълняващ функцията на </w:t>
      </w:r>
      <w:proofErr w:type="spellStart"/>
      <w:r w:rsidR="00851E91" w:rsidRPr="008A385C">
        <w:t>Посетителски</w:t>
      </w:r>
      <w:proofErr w:type="spellEnd"/>
      <w:r w:rsidR="00851E91" w:rsidRPr="008A385C">
        <w:t xml:space="preserve"> център. Достъпът от паркинга и асфалтовия път до подхода към острова се осъществява посредством полски път с дължина 800 метра. Тези дейности направиха възможно посещението на туристи през 2014 година и данните за </w:t>
      </w:r>
      <w:proofErr w:type="spellStart"/>
      <w:r w:rsidR="00851E91" w:rsidRPr="008A385C">
        <w:t>посетителския</w:t>
      </w:r>
      <w:proofErr w:type="spellEnd"/>
      <w:r w:rsidR="00851E91" w:rsidRPr="008A385C">
        <w:t xml:space="preserve"> интерес са окуражаващи. Въпреки всичко, от погледа на туристите не убягват проблемите, посочени по-горе.</w:t>
      </w:r>
    </w:p>
    <w:p w:rsidR="00851E91" w:rsidRPr="008A385C" w:rsidRDefault="00A66680" w:rsidP="00851E91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851E91" w:rsidRPr="008A385C">
        <w:rPr>
          <w:b/>
        </w:rPr>
        <w:t>Цел на проекта:</w:t>
      </w:r>
    </w:p>
    <w:p w:rsidR="00851E91" w:rsidRPr="008A385C" w:rsidRDefault="00B025C4" w:rsidP="00851E91">
      <w:pPr>
        <w:spacing w:before="120"/>
        <w:jc w:val="both"/>
      </w:pPr>
      <w:r>
        <w:tab/>
      </w:r>
      <w:r w:rsidR="00851E91" w:rsidRPr="008A385C">
        <w:t>Съхраняване и валоризиране на културното наследство на Археологически парк „</w:t>
      </w:r>
      <w:proofErr w:type="spellStart"/>
      <w:r w:rsidR="00851E91" w:rsidRPr="008A385C">
        <w:t>Дуранкулак-Хаманджия</w:t>
      </w:r>
      <w:proofErr w:type="spellEnd"/>
      <w:r w:rsidR="00851E91" w:rsidRPr="008A385C">
        <w:t xml:space="preserve">“; Повишаване привлекателността и капацитета на двете гранични общини - община Шабла, област Добрич България и община Черна вода, област Констанца Румъния за културен туризъм и генериране на сериозен туристически интерес чрез създаване и </w:t>
      </w:r>
      <w:proofErr w:type="spellStart"/>
      <w:r w:rsidR="00851E91" w:rsidRPr="008A385C">
        <w:t>промотиране</w:t>
      </w:r>
      <w:proofErr w:type="spellEnd"/>
      <w:r w:rsidR="00851E91" w:rsidRPr="008A385C">
        <w:t xml:space="preserve"> на съвместен туристически продукт “</w:t>
      </w:r>
      <w:proofErr w:type="spellStart"/>
      <w:r w:rsidR="00851E91" w:rsidRPr="008A385C">
        <w:t>Hamangia</w:t>
      </w:r>
      <w:proofErr w:type="spellEnd"/>
      <w:r w:rsidR="00851E91" w:rsidRPr="008A385C">
        <w:t xml:space="preserve"> – </w:t>
      </w:r>
      <w:proofErr w:type="spellStart"/>
      <w:r w:rsidR="00851E91" w:rsidRPr="008A385C">
        <w:t>Durankulak</w:t>
      </w:r>
      <w:proofErr w:type="spellEnd"/>
      <w:r w:rsidR="00851E91" w:rsidRPr="008A385C">
        <w:t xml:space="preserve"> -</w:t>
      </w:r>
      <w:r w:rsidR="00851E91" w:rsidRPr="008A385C">
        <w:rPr>
          <w:b/>
        </w:rPr>
        <w:t xml:space="preserve"> </w:t>
      </w:r>
      <w:r w:rsidR="00851E91" w:rsidRPr="008A385C">
        <w:t xml:space="preserve">първата европейска </w:t>
      </w:r>
      <w:proofErr w:type="spellStart"/>
      <w:r w:rsidR="00851E91" w:rsidRPr="008A385C">
        <w:t>прото</w:t>
      </w:r>
      <w:proofErr w:type="spellEnd"/>
      <w:r w:rsidR="00851E91" w:rsidRPr="008A385C">
        <w:t xml:space="preserve"> цивилизация”. </w:t>
      </w:r>
    </w:p>
    <w:p w:rsidR="00851E91" w:rsidRPr="008A385C" w:rsidRDefault="00B025C4" w:rsidP="00851E91">
      <w:pPr>
        <w:spacing w:before="120"/>
        <w:jc w:val="both"/>
        <w:rPr>
          <w:b/>
        </w:rPr>
      </w:pPr>
      <w:r>
        <w:tab/>
      </w:r>
      <w:r w:rsidR="00A66680">
        <w:rPr>
          <w:b/>
        </w:rPr>
        <w:t>4. Т</w:t>
      </w:r>
      <w:r w:rsidR="00A66680" w:rsidRPr="008A385C">
        <w:rPr>
          <w:b/>
        </w:rPr>
        <w:t>ериториален обхват и устройствен статут</w:t>
      </w:r>
    </w:p>
    <w:p w:rsidR="00851E91" w:rsidRPr="008A385C" w:rsidRDefault="00851E91" w:rsidP="00851E91">
      <w:pPr>
        <w:spacing w:before="120"/>
        <w:jc w:val="both"/>
      </w:pPr>
      <w:r w:rsidRPr="008A385C">
        <w:t>Проектът следва да се изработи в обхвата на следните поземлени имоти: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68610.14.114 – друг вид трайно насаждение, 3 000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>2</w:t>
      </w:r>
      <w:r w:rsidRPr="008A385C">
        <w:rPr>
          <w:rFonts w:ascii="Times New Roman" w:hAnsi="Times New Roman"/>
          <w:sz w:val="24"/>
          <w:szCs w:val="24"/>
        </w:rPr>
        <w:t>;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68610.15.59 - полски път, 2374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A385C">
        <w:rPr>
          <w:rFonts w:ascii="Times New Roman" w:hAnsi="Times New Roman"/>
          <w:sz w:val="24"/>
          <w:szCs w:val="24"/>
        </w:rPr>
        <w:t>;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68610.14.116 – За селскостопански, горски , ведомствен път, 1 585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>2</w:t>
      </w:r>
      <w:r w:rsidRPr="008A385C">
        <w:rPr>
          <w:rFonts w:ascii="Times New Roman" w:hAnsi="Times New Roman"/>
          <w:sz w:val="24"/>
          <w:szCs w:val="24"/>
        </w:rPr>
        <w:t>;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68610.14.117 – пасище, 25 719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>2</w:t>
      </w:r>
      <w:r w:rsidRPr="008A385C">
        <w:rPr>
          <w:rFonts w:ascii="Times New Roman" w:hAnsi="Times New Roman"/>
          <w:sz w:val="24"/>
          <w:szCs w:val="24"/>
        </w:rPr>
        <w:t>;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68610.14.118 – пасище, 4 147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>2</w:t>
      </w:r>
      <w:r w:rsidRPr="008A385C">
        <w:rPr>
          <w:rFonts w:ascii="Times New Roman" w:hAnsi="Times New Roman"/>
          <w:sz w:val="24"/>
          <w:szCs w:val="24"/>
        </w:rPr>
        <w:t>;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68610.14.119 – пасище, 2 367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>2</w:t>
      </w:r>
      <w:r w:rsidRPr="008A385C">
        <w:rPr>
          <w:rFonts w:ascii="Times New Roman" w:hAnsi="Times New Roman"/>
          <w:sz w:val="24"/>
          <w:szCs w:val="24"/>
        </w:rPr>
        <w:t>;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24102.34.421-за селскостопански, горски , ведомствен път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 xml:space="preserve">ПИ 24102.37.132 – Големият </w:t>
      </w:r>
      <w:proofErr w:type="spellStart"/>
      <w:r w:rsidRPr="008A385C">
        <w:rPr>
          <w:rFonts w:ascii="Times New Roman" w:hAnsi="Times New Roman"/>
          <w:sz w:val="24"/>
          <w:szCs w:val="24"/>
        </w:rPr>
        <w:t>о-ов</w:t>
      </w:r>
      <w:proofErr w:type="spellEnd"/>
      <w:r w:rsidRPr="008A385C">
        <w:rPr>
          <w:rFonts w:ascii="Times New Roman" w:hAnsi="Times New Roman"/>
          <w:sz w:val="24"/>
          <w:szCs w:val="24"/>
        </w:rPr>
        <w:t>, За археологически паметник на културата, 19 965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>2</w:t>
      </w:r>
      <w:r w:rsidRPr="008A385C">
        <w:rPr>
          <w:rFonts w:ascii="Times New Roman" w:hAnsi="Times New Roman"/>
          <w:sz w:val="24"/>
          <w:szCs w:val="24"/>
        </w:rPr>
        <w:t>;</w:t>
      </w:r>
    </w:p>
    <w:p w:rsidR="00851E91" w:rsidRPr="008A385C" w:rsidRDefault="00851E91" w:rsidP="00851E91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385C">
        <w:rPr>
          <w:rFonts w:ascii="Times New Roman" w:hAnsi="Times New Roman"/>
          <w:sz w:val="24"/>
          <w:szCs w:val="24"/>
        </w:rPr>
        <w:t>ПИ 68610.14.31 - За археологически паметник на културата, 100 883 м</w:t>
      </w:r>
      <w:r w:rsidRPr="008A385C">
        <w:rPr>
          <w:rFonts w:ascii="Times New Roman" w:hAnsi="Times New Roman"/>
          <w:sz w:val="24"/>
          <w:szCs w:val="24"/>
          <w:vertAlign w:val="superscript"/>
        </w:rPr>
        <w:t>2</w:t>
      </w:r>
      <w:r w:rsidRPr="008A385C">
        <w:rPr>
          <w:rFonts w:ascii="Times New Roman" w:hAnsi="Times New Roman"/>
          <w:sz w:val="24"/>
          <w:szCs w:val="24"/>
        </w:rPr>
        <w:t>.</w:t>
      </w:r>
    </w:p>
    <w:p w:rsidR="00851E91" w:rsidRDefault="00851E91" w:rsidP="00851E91">
      <w:pPr>
        <w:spacing w:before="240" w:after="240"/>
        <w:ind w:firstLine="709"/>
        <w:jc w:val="both"/>
      </w:pPr>
      <w:r w:rsidRPr="008A385C">
        <w:t>Територията попада в обхвата на екологичната мрежа Натура 2000 и ЗМ „</w:t>
      </w:r>
      <w:proofErr w:type="spellStart"/>
      <w:r w:rsidRPr="008A385C">
        <w:t>Дуранкулашко</w:t>
      </w:r>
      <w:proofErr w:type="spellEnd"/>
      <w:r w:rsidRPr="008A385C">
        <w:t xml:space="preserve"> езеро“</w:t>
      </w:r>
    </w:p>
    <w:p w:rsidR="00500C55" w:rsidRDefault="00500C55" w:rsidP="00500C55">
      <w:pPr>
        <w:numPr>
          <w:ilvl w:val="0"/>
          <w:numId w:val="1"/>
        </w:numPr>
        <w:spacing w:before="240" w:after="240"/>
        <w:ind w:left="709" w:hanging="284"/>
        <w:rPr>
          <w:b/>
          <w:bCs/>
        </w:rPr>
      </w:pPr>
      <w:r>
        <w:rPr>
          <w:b/>
          <w:bCs/>
        </w:rPr>
        <w:t>ФАЗИ И СРОКОВЕ ЗА ИЗПЪЛНЕНИЕ НА ДОГОВОРА</w:t>
      </w:r>
    </w:p>
    <w:p w:rsidR="00500C55" w:rsidRDefault="00A66680" w:rsidP="00500C55">
      <w:pPr>
        <w:spacing w:before="120" w:after="120"/>
        <w:ind w:firstLine="709"/>
        <w:jc w:val="both"/>
      </w:pPr>
      <w:r>
        <w:lastRenderedPageBreak/>
        <w:t xml:space="preserve">Проектът </w:t>
      </w:r>
      <w:r w:rsidR="00500C55" w:rsidRPr="00465702">
        <w:t>да се проектира еднофазно като работен инвестиционен проект</w:t>
      </w:r>
      <w:r>
        <w:t xml:space="preserve"> при пълно съобразяване с предвижданията на идейния проект</w:t>
      </w:r>
      <w:r w:rsidR="00500C55" w:rsidRPr="004157E4">
        <w:t>.</w:t>
      </w:r>
      <w:r>
        <w:t xml:space="preserve"> В случай, че в процеса на инвестиционно проектиране е необходимо да се въведат съответни изменения (независимо дали съществени или несъществени) спрямо обхвата и съдържанието на идейния проект, такива са допустими след предоставяне на съответни аргументи/обосновка от страна на изпълнителя към възложителя и същите са предмет на предварително одобрение преди въвеждането на тези промени в работния проект. </w:t>
      </w:r>
      <w:r w:rsidR="00EF67A6">
        <w:t>Те се допускат само по изключение.</w:t>
      </w:r>
    </w:p>
    <w:p w:rsidR="00EF67A6" w:rsidRDefault="00500C55" w:rsidP="00500C55">
      <w:pPr>
        <w:spacing w:before="120" w:after="120"/>
        <w:ind w:firstLine="709"/>
        <w:jc w:val="both"/>
      </w:pPr>
      <w:r>
        <w:t>Инвестиционният проект</w:t>
      </w:r>
      <w:r w:rsidR="00EF67A6">
        <w:t xml:space="preserve"> следва да се изработи в срока, определ</w:t>
      </w:r>
      <w:r w:rsidR="00B025C4">
        <w:t>ен чрез</w:t>
      </w:r>
      <w:r w:rsidR="00EF67A6">
        <w:t xml:space="preserve"> договора</w:t>
      </w:r>
      <w:r w:rsidR="00FF7C2C">
        <w:t>, а именно до 2 (два) календарни месеца</w:t>
      </w:r>
      <w:r w:rsidR="00EF67A6">
        <w:t xml:space="preserve">. В допълнение, същото се отнася до срока за изпълнение на </w:t>
      </w:r>
      <w:r w:rsidR="00D43011">
        <w:t>дейностите по авторски</w:t>
      </w:r>
      <w:r w:rsidR="00EF67A6">
        <w:t xml:space="preserve"> надзор</w:t>
      </w:r>
      <w:r w:rsidR="00C6574C">
        <w:t>, а именно срокът за тяхното изпълнение е съобразно този, определен чрез договора</w:t>
      </w:r>
      <w:r w:rsidR="00EF67A6">
        <w:t>.</w:t>
      </w:r>
    </w:p>
    <w:p w:rsidR="00500C55" w:rsidRDefault="00D43011" w:rsidP="00500C55">
      <w:pPr>
        <w:spacing w:before="120" w:after="120"/>
        <w:ind w:firstLine="709"/>
        <w:jc w:val="both"/>
      </w:pPr>
      <w:r>
        <w:t>И</w:t>
      </w:r>
      <w:r w:rsidR="00500C55" w:rsidRPr="00D43011">
        <w:t>зпълнителят</w:t>
      </w:r>
      <w:r w:rsidR="00500C55">
        <w:t xml:space="preserve"> подпомага активно Възложителя </w:t>
      </w:r>
      <w:r>
        <w:t xml:space="preserve">(при необходимост) </w:t>
      </w:r>
      <w:r w:rsidR="00500C55">
        <w:t>от негово име в процеса на съгласуване и одобряване на проекта</w:t>
      </w:r>
      <w:r>
        <w:t>.</w:t>
      </w:r>
    </w:p>
    <w:p w:rsidR="00500C55" w:rsidRDefault="00500C55" w:rsidP="00500C55">
      <w:pPr>
        <w:spacing w:before="120" w:after="120"/>
        <w:ind w:firstLine="709"/>
        <w:jc w:val="both"/>
      </w:pPr>
      <w:r>
        <w:t>Изпълнението на функциите на авторски надзор като участник в строителството е съобразно прогреса на работите в рамките на настоящата поръчка и съобразно нормативните изисквания.</w:t>
      </w:r>
    </w:p>
    <w:p w:rsidR="00500C55" w:rsidRDefault="00500C55" w:rsidP="00500C55">
      <w:pPr>
        <w:numPr>
          <w:ilvl w:val="0"/>
          <w:numId w:val="1"/>
        </w:numPr>
        <w:spacing w:before="240" w:after="240"/>
        <w:ind w:left="709" w:hanging="284"/>
        <w:rPr>
          <w:b/>
          <w:bCs/>
        </w:rPr>
      </w:pPr>
      <w:r>
        <w:rPr>
          <w:b/>
          <w:bCs/>
        </w:rPr>
        <w:t>ОБЕМ И СЪДЪРЖАНИЕ НА ПРОЕКТНАТА ДОКУМЕНТАЦИЯ</w:t>
      </w:r>
    </w:p>
    <w:p w:rsidR="00500C55" w:rsidRDefault="00500C55" w:rsidP="00500C55">
      <w:pPr>
        <w:spacing w:before="240" w:after="240"/>
        <w:ind w:firstLine="709"/>
        <w:jc w:val="both"/>
      </w:pPr>
      <w:r>
        <w:t xml:space="preserve">Проектната документация да съдържа </w:t>
      </w:r>
      <w:r w:rsidR="00D43011">
        <w:t xml:space="preserve">проектите части съобразно издадените разрешение за строеж и разрешение за поставяне, вече уточнени в т. </w:t>
      </w:r>
      <w:r w:rsidR="00D43011">
        <w:rPr>
          <w:lang w:val="en-US"/>
        </w:rPr>
        <w:t>I</w:t>
      </w:r>
      <w:r w:rsidR="00D43011">
        <w:t xml:space="preserve">. от настоящите </w:t>
      </w:r>
      <w:r w:rsidR="009612F4">
        <w:t xml:space="preserve">Технически спецификации. Проектът трябва да бъде разработен на български и английски езици при пълна идентичност между тях, свързана с обхвата и съдържанието им. В рамките на поръчката изпълнителят е необходимо да изготви характерни (типови) детайли, както и </w:t>
      </w:r>
      <w:r w:rsidR="00DF75A0">
        <w:t xml:space="preserve">предхождащо или </w:t>
      </w:r>
      <w:r w:rsidR="009612F4">
        <w:t xml:space="preserve">в процеса на реализация на строителните работи </w:t>
      </w:r>
      <w:r w:rsidR="00DF75A0">
        <w:t xml:space="preserve">други детайли, необходими за качественото изпълнение на строителството (поставянето). </w:t>
      </w:r>
    </w:p>
    <w:p w:rsidR="00FF3263" w:rsidRDefault="00FF3263" w:rsidP="00500C55">
      <w:pPr>
        <w:spacing w:before="240" w:after="240"/>
        <w:ind w:firstLine="709"/>
        <w:jc w:val="both"/>
      </w:pPr>
      <w:r>
        <w:t>Проектните части, които изпълнителят е необходимо да разработи до фазата, определена чрез настоящите спецификации като минимум са:</w:t>
      </w:r>
    </w:p>
    <w:p w:rsid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F3263">
        <w:rPr>
          <w:rFonts w:ascii="Times New Roman" w:hAnsi="Times New Roman"/>
          <w:sz w:val="24"/>
          <w:szCs w:val="24"/>
        </w:rPr>
        <w:t>Архи</w:t>
      </w:r>
      <w:r>
        <w:rPr>
          <w:rFonts w:ascii="Times New Roman" w:hAnsi="Times New Roman"/>
          <w:sz w:val="24"/>
          <w:szCs w:val="24"/>
        </w:rPr>
        <w:t>тектурна“</w:t>
      </w:r>
      <w:r w:rsidR="00F1466F">
        <w:rPr>
          <w:rFonts w:ascii="Times New Roman" w:hAnsi="Times New Roman"/>
          <w:sz w:val="24"/>
          <w:szCs w:val="24"/>
        </w:rPr>
        <w:t>, вкл. при необходимост спецификации на материалите</w:t>
      </w:r>
      <w:r>
        <w:rPr>
          <w:rFonts w:ascii="Times New Roman" w:hAnsi="Times New Roman"/>
          <w:sz w:val="24"/>
          <w:szCs w:val="24"/>
        </w:rPr>
        <w:t>;</w:t>
      </w:r>
    </w:p>
    <w:p w:rsid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„Конструктивна“;</w:t>
      </w:r>
    </w:p>
    <w:p w:rsid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„Консервация, реставрация и експониране </w:t>
      </w:r>
      <w:r w:rsidRPr="008A385C">
        <w:rPr>
          <w:rFonts w:ascii="Times New Roman" w:hAnsi="Times New Roman"/>
          <w:iCs/>
          <w:sz w:val="24"/>
          <w:szCs w:val="24"/>
        </w:rPr>
        <w:t>на недвижими културни ценности</w:t>
      </w:r>
      <w:r>
        <w:rPr>
          <w:rFonts w:ascii="Times New Roman" w:hAnsi="Times New Roman"/>
          <w:iCs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FF3263" w:rsidRDefault="00FF3263" w:rsidP="000238CE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 „Електрическа“;</w:t>
      </w:r>
    </w:p>
    <w:p w:rsidR="00FF3263" w:rsidRPr="00FF3263" w:rsidRDefault="00FF3263" w:rsidP="000238CE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 w:rsidRPr="00FF3263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 „Водоснабдяване и канализация“;</w:t>
      </w:r>
    </w:p>
    <w:p w:rsidR="00FF3263" w:rsidRP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 w:rsidRPr="00FF3263">
        <w:rPr>
          <w:rFonts w:ascii="Times New Roman" w:hAnsi="Times New Roman"/>
          <w:sz w:val="24"/>
          <w:szCs w:val="24"/>
        </w:rPr>
        <w:t>Част „Консервация, реставрация и експониране на недвижими културни ценности“</w:t>
      </w:r>
    </w:p>
    <w:p w:rsid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 w:rsidRPr="00FF3263">
        <w:rPr>
          <w:rFonts w:ascii="Times New Roman" w:hAnsi="Times New Roman"/>
          <w:sz w:val="24"/>
          <w:szCs w:val="24"/>
        </w:rPr>
        <w:t>Част „</w:t>
      </w:r>
      <w:proofErr w:type="spellStart"/>
      <w:r w:rsidRPr="00FF3263">
        <w:rPr>
          <w:rFonts w:ascii="Times New Roman" w:hAnsi="Times New Roman"/>
          <w:sz w:val="24"/>
          <w:szCs w:val="24"/>
        </w:rPr>
        <w:t>Геодезическа</w:t>
      </w:r>
      <w:proofErr w:type="spellEnd"/>
      <w:r w:rsidRPr="00FF326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FF3263" w:rsidRP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Част „Пожарна безопасност“;</w:t>
      </w:r>
    </w:p>
    <w:p w:rsidR="00FF3263" w:rsidRP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 „План за безопасност и здраве</w:t>
      </w:r>
      <w:r w:rsidRPr="00FF326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FF3263" w:rsidRPr="00FF3263" w:rsidRDefault="00FF3263" w:rsidP="00FF3263">
      <w:pPr>
        <w:pStyle w:val="a6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 „План за управление на строителните отпадъци“. </w:t>
      </w:r>
    </w:p>
    <w:p w:rsidR="004E70D8" w:rsidRDefault="004E70D8" w:rsidP="00500C55">
      <w:pPr>
        <w:spacing w:before="240" w:after="240"/>
        <w:ind w:firstLine="709"/>
        <w:jc w:val="both"/>
      </w:pPr>
      <w:r>
        <w:t>Като самостоятелна част на инвестиционния проект във фаза „работен проект“ изпълнителят е необходимо да ра</w:t>
      </w:r>
      <w:r w:rsidR="006910E9">
        <w:t>зработи част „Сметна документация“, която да бъде подробна в максимална възможна степен</w:t>
      </w:r>
      <w:r w:rsidR="00B025C4">
        <w:t>. Горното е съществено изискване по отношение цялостната работа на изпълнителя. Наличието на подробни количествени сметки, които да съответстват напълно на максималния наличен финансов ресурс за реализация на строителните работи, както и работите по поставяне, е задължително условие в процеса на изпълнение на настоящата поръчка.</w:t>
      </w:r>
    </w:p>
    <w:p w:rsidR="00500C55" w:rsidRDefault="00500C55" w:rsidP="00500C55">
      <w:pPr>
        <w:numPr>
          <w:ilvl w:val="0"/>
          <w:numId w:val="1"/>
        </w:numPr>
        <w:spacing w:before="240" w:after="240"/>
        <w:ind w:left="709" w:hanging="283"/>
        <w:rPr>
          <w:b/>
          <w:bCs/>
        </w:rPr>
      </w:pPr>
      <w:r>
        <w:rPr>
          <w:b/>
          <w:bCs/>
        </w:rPr>
        <w:t>АВТОРСКИ НАДЗОР</w:t>
      </w:r>
      <w:r w:rsidR="007261CB">
        <w:rPr>
          <w:b/>
          <w:bCs/>
        </w:rPr>
        <w:t>. ЕКЗЕКУТИВНА ДОКУМЕНТАЦИЯ</w:t>
      </w:r>
    </w:p>
    <w:p w:rsidR="007261CB" w:rsidRPr="007261CB" w:rsidRDefault="00500C55" w:rsidP="007261CB">
      <w:pPr>
        <w:ind w:firstLine="708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Проектантите, изработили отделните части на </w:t>
      </w:r>
      <w:r w:rsidRPr="00465702">
        <w:rPr>
          <w:color w:val="000000"/>
          <w:shd w:val="clear" w:color="auto" w:fill="FEFEFE"/>
        </w:rPr>
        <w:t>работния</w:t>
      </w:r>
      <w:r>
        <w:rPr>
          <w:color w:val="000000"/>
          <w:shd w:val="clear" w:color="auto" w:fill="FEFEFE"/>
        </w:rPr>
        <w:t xml:space="preserve"> проект, се задължават да осъществяват авторски надзор</w:t>
      </w:r>
      <w:r w:rsidR="00B025C4">
        <w:rPr>
          <w:color w:val="000000"/>
          <w:shd w:val="clear" w:color="auto" w:fill="FEFEFE"/>
        </w:rPr>
        <w:t xml:space="preserve"> по смисъла на ЗУТ и добрите строителни практики</w:t>
      </w:r>
      <w:r>
        <w:rPr>
          <w:color w:val="000000"/>
          <w:shd w:val="clear" w:color="auto" w:fill="FEFEFE"/>
        </w:rPr>
        <w:t xml:space="preserve"> по време на реализацията на проекта за обекта</w:t>
      </w:r>
      <w:r w:rsidR="00B025C4">
        <w:rPr>
          <w:color w:val="000000"/>
          <w:shd w:val="clear" w:color="auto" w:fill="FEFEFE"/>
        </w:rPr>
        <w:t>.</w:t>
      </w:r>
      <w:r w:rsidR="007261CB">
        <w:rPr>
          <w:color w:val="000000"/>
          <w:shd w:val="clear" w:color="auto" w:fill="FEFEFE"/>
        </w:rPr>
        <w:t xml:space="preserve"> </w:t>
      </w:r>
      <w:r w:rsidR="007261CB" w:rsidRPr="007261CB">
        <w:rPr>
          <w:color w:val="000000"/>
          <w:shd w:val="clear" w:color="auto" w:fill="FEFEFE"/>
        </w:rPr>
        <w:t>Авторският надзор във всички случаи, когато присъствието на проектант</w:t>
      </w:r>
      <w:r w:rsidR="007261CB">
        <w:rPr>
          <w:color w:val="000000"/>
          <w:shd w:val="clear" w:color="auto" w:fill="FEFEFE"/>
        </w:rPr>
        <w:t>(и)</w:t>
      </w:r>
      <w:r w:rsidR="007261CB" w:rsidRPr="007261CB">
        <w:rPr>
          <w:color w:val="000000"/>
          <w:shd w:val="clear" w:color="auto" w:fill="FEFEFE"/>
        </w:rPr>
        <w:t xml:space="preserve"> на обекта е наложително, относно:</w:t>
      </w:r>
    </w:p>
    <w:p w:rsidR="007261CB" w:rsidRPr="006073D6" w:rsidRDefault="007261CB" w:rsidP="006073D6">
      <w:pPr>
        <w:pStyle w:val="a6"/>
        <w:numPr>
          <w:ilvl w:val="1"/>
          <w:numId w:val="11"/>
        </w:numPr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Присъствие при съставяне и подписване на задължителните актове </w:t>
      </w:r>
      <w:r w:rsid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 протоколи </w:t>
      </w: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 време на строителството и в случаите на установяване на точно изпълнение на проекта, заверки при покана от страна на Възложителя и др.;</w:t>
      </w:r>
    </w:p>
    <w:p w:rsidR="007261CB" w:rsidRPr="006073D6" w:rsidRDefault="007261CB" w:rsidP="006073D6">
      <w:pPr>
        <w:pStyle w:val="a6"/>
        <w:numPr>
          <w:ilvl w:val="1"/>
          <w:numId w:val="11"/>
        </w:numPr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Наблюдение на изпълнението на обекта по време на целия период на изпълнение на строително-монтажните работи и работата по поставяне на </w:t>
      </w:r>
      <w:proofErr w:type="spellStart"/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преместваемите</w:t>
      </w:r>
      <w:proofErr w:type="spellEnd"/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обекти за спазване на предписанията на проектанта/проектантите за точно изпълнение на изработения от него/тях проект от страна на всички участници в строителството. Наблюдението следва да се изпълнява регулярно като се осъществяват посещения на обекта </w:t>
      </w:r>
      <w:r w:rsidR="006073D6"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минимум веднъж месечно от проектантите по основни части (архитектура; конструктивна; реставрация, консервация и експониране), както и проектанти по други части съобразно реалния прогрес на работите, както и нуждите на обекта</w:t>
      </w:r>
      <w:r w:rsidR="006437C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 Извън горното, Възложителят има право да отправя писмени инструкции (чрез писма и/или електронна поща) към изпълнителя за посещение на обекта. В случай на отправяне на подобна инструкция съответният проектант е задължен да извърши посещение и изпълни конкретни задачи не по-късно от 3 работни дни от изпращане на инструкцията</w:t>
      </w: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;</w:t>
      </w:r>
    </w:p>
    <w:p w:rsidR="007261CB" w:rsidRDefault="007261CB" w:rsidP="006073D6">
      <w:pPr>
        <w:pStyle w:val="a6"/>
        <w:numPr>
          <w:ilvl w:val="1"/>
          <w:numId w:val="11"/>
        </w:numPr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Изработване и съгласуване на промени в проектната документация </w:t>
      </w:r>
      <w:r w:rsidR="006073D6"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(както несъществени, така и съществени изменения на одобрения проект) </w:t>
      </w: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при необходимост по искане на Възложителя и/или по предложение на строителния надзор </w:t>
      </w:r>
      <w:r w:rsidR="006073D6"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и/или по собствена инициатива (отново след предварително одобрение от страна на Възложителя и при спазване на реда, определен чрез законодателството)</w:t>
      </w: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;</w:t>
      </w:r>
    </w:p>
    <w:p w:rsidR="006073D6" w:rsidRDefault="006073D6" w:rsidP="007261CB">
      <w:pPr>
        <w:pStyle w:val="a6"/>
        <w:numPr>
          <w:ilvl w:val="1"/>
          <w:numId w:val="11"/>
        </w:numPr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Вписване в Заповедната книга на строежа (или инструкции, свързани с поставянето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преместваемите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обекти, вкл. касаещи тяхното изработване и транспортиране) на предписания, свързани с точното спазване на изработения проект;</w:t>
      </w:r>
    </w:p>
    <w:p w:rsidR="006073D6" w:rsidRPr="006073D6" w:rsidRDefault="006073D6" w:rsidP="007261CB">
      <w:pPr>
        <w:pStyle w:val="a6"/>
        <w:numPr>
          <w:ilvl w:val="1"/>
          <w:numId w:val="11"/>
        </w:numPr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 xml:space="preserve">Присъствие по време на подготовка и провеждане </w:t>
      </w:r>
      <w:r w:rsidR="0072494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на Държавна приемателна комисия, вкл. оказване на съдействие в рамките на своите компетенции на Възложителя във връзка с провеждане на процедурата по въвеждане на обекта в редовна експлоатация съобразно изискванията на приложимото законодателство; </w:t>
      </w:r>
    </w:p>
    <w:p w:rsidR="00500C55" w:rsidRPr="006073D6" w:rsidRDefault="007261CB" w:rsidP="00D835EF">
      <w:pPr>
        <w:pStyle w:val="a6"/>
        <w:numPr>
          <w:ilvl w:val="1"/>
          <w:numId w:val="11"/>
        </w:numPr>
        <w:ind w:left="0" w:firstLine="709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EFEFE"/>
        </w:rPr>
      </w:pP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Заверка на екзекутивната документация за </w:t>
      </w:r>
      <w:r w:rsidR="006073D6"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обекта</w:t>
      </w:r>
      <w:r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след изпълнение на </w:t>
      </w:r>
      <w:r w:rsidR="006073D6"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работите, предмет на договора за строителство – след приключване на СМР и при наличие на несъществени отклонения от одобрения инвестиционен проект, изпълнителят за своя сметка изготвя екзекутивна документация в три идентични екземпляра на хартия, а също така съхранява и другата техническа документация по изпълнението на обекта съгласно отговорността по чл. 163, ал. 2, т. 4 от ЗУТ.</w:t>
      </w:r>
      <w:r w:rsid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6073D6" w:rsidRPr="006073D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Екзекутивната документация се заверява съгласно чл. 175, ал. 2 от ЗУТ.</w:t>
      </w:r>
    </w:p>
    <w:p w:rsidR="00500C55" w:rsidRDefault="00500C55" w:rsidP="00500C55">
      <w:pPr>
        <w:jc w:val="center"/>
        <w:rPr>
          <w:rFonts w:eastAsia="MS ??"/>
          <w:b/>
          <w:caps/>
          <w:highlight w:val="yellow"/>
        </w:rPr>
      </w:pPr>
    </w:p>
    <w:p w:rsidR="00500C55" w:rsidRPr="004B3BEA" w:rsidRDefault="00500C55" w:rsidP="00500C55">
      <w:pPr>
        <w:ind w:firstLine="708"/>
        <w:jc w:val="both"/>
        <w:rPr>
          <w:b/>
          <w:color w:val="000000"/>
          <w:shd w:val="clear" w:color="auto" w:fill="FEFEFE"/>
        </w:rPr>
      </w:pPr>
      <w:r w:rsidRPr="004B3BEA">
        <w:rPr>
          <w:b/>
          <w:color w:val="000000"/>
          <w:shd w:val="clear" w:color="auto" w:fill="FEFEFE"/>
        </w:rPr>
        <w:t>Приложения:</w:t>
      </w:r>
      <w:r w:rsidR="00B025C4">
        <w:rPr>
          <w:b/>
          <w:color w:val="000000"/>
          <w:shd w:val="clear" w:color="auto" w:fill="FEFEFE"/>
        </w:rPr>
        <w:t xml:space="preserve"> </w:t>
      </w:r>
      <w:r w:rsidR="00B025C4" w:rsidRPr="00B025C4">
        <w:rPr>
          <w:b/>
          <w:color w:val="000000"/>
          <w:u w:val="single"/>
          <w:shd w:val="clear" w:color="auto" w:fill="FEFEFE"/>
        </w:rPr>
        <w:t>Съгласно текста</w:t>
      </w:r>
    </w:p>
    <w:p w:rsidR="00996860" w:rsidRDefault="00996860"/>
    <w:sectPr w:rsidR="009968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7C" w:rsidRDefault="0065007C" w:rsidP="00927CAA">
      <w:r>
        <w:separator/>
      </w:r>
    </w:p>
  </w:endnote>
  <w:endnote w:type="continuationSeparator" w:id="0">
    <w:p w:rsidR="0065007C" w:rsidRDefault="0065007C" w:rsidP="009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AA" w:rsidRPr="00927CAA" w:rsidRDefault="00927CAA" w:rsidP="00927CAA">
    <w:pPr>
      <w:suppressAutoHyphens/>
      <w:ind w:right="77"/>
      <w:jc w:val="center"/>
      <w:rPr>
        <w:rFonts w:ascii="Arial" w:eastAsia="Times New Roman" w:hAnsi="Arial"/>
        <w:sz w:val="16"/>
        <w:szCs w:val="16"/>
        <w:lang w:val="en-GB" w:eastAsia="ar-SA"/>
      </w:rPr>
    </w:pPr>
    <w:r>
      <w:rPr>
        <w:rFonts w:ascii="Arial" w:eastAsia="Times New Roman" w:hAnsi="Arial"/>
        <w:noProof/>
        <w:sz w:val="16"/>
        <w:szCs w:val="20"/>
        <w:lang w:eastAsia="bg-BG"/>
      </w:rPr>
      <w:drawing>
        <wp:inline distT="0" distB="0" distL="0" distR="0">
          <wp:extent cx="1121410" cy="524510"/>
          <wp:effectExtent l="0" t="0" r="2540" b="889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CAA">
      <w:rPr>
        <w:rFonts w:ascii="Arial" w:eastAsia="Times New Roman" w:hAnsi="Arial"/>
        <w:noProof/>
        <w:sz w:val="16"/>
        <w:szCs w:val="20"/>
        <w:lang w:val="en-US" w:eastAsia="bg-BG"/>
      </w:rPr>
      <w:t xml:space="preserve">         </w:t>
    </w:r>
  </w:p>
  <w:p w:rsidR="00927CAA" w:rsidRPr="00927CAA" w:rsidRDefault="00927CAA" w:rsidP="00927CAA">
    <w:pPr>
      <w:suppressAutoHyphens/>
      <w:ind w:left="-284" w:right="-278"/>
      <w:jc w:val="center"/>
      <w:rPr>
        <w:rFonts w:eastAsia="Times New Roman"/>
        <w:sz w:val="16"/>
        <w:szCs w:val="20"/>
        <w:lang w:val="en-US" w:eastAsia="ar-SA"/>
      </w:rPr>
    </w:pPr>
    <w:proofErr w:type="spellStart"/>
    <w:proofErr w:type="gramStart"/>
    <w:r w:rsidRPr="00927CAA">
      <w:rPr>
        <w:rFonts w:eastAsia="Times New Roman"/>
        <w:sz w:val="16"/>
        <w:szCs w:val="16"/>
        <w:lang w:val="ru-RU" w:eastAsia="ar-SA"/>
      </w:rPr>
      <w:t>Този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документ е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създаден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в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рамките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на проект </w:t>
    </w:r>
    <w:r w:rsidRPr="00927CAA">
      <w:rPr>
        <w:rFonts w:eastAsia="Calibri"/>
        <w:color w:val="000000"/>
        <w:sz w:val="16"/>
        <w:szCs w:val="16"/>
        <w:lang w:eastAsia="bg-BG"/>
      </w:rPr>
      <w:t xml:space="preserve">№ </w:t>
    </w:r>
    <w:r w:rsidRPr="00927CAA">
      <w:rPr>
        <w:rFonts w:eastAsia="Calibri"/>
        <w:color w:val="000000"/>
        <w:sz w:val="16"/>
        <w:szCs w:val="16"/>
        <w:lang w:val="en-US" w:eastAsia="bg-BG"/>
      </w:rPr>
      <w:t>ROBG</w:t>
    </w:r>
    <w:r w:rsidRPr="00927CAA">
      <w:rPr>
        <w:rFonts w:eastAsia="Calibri"/>
        <w:color w:val="000000"/>
        <w:sz w:val="16"/>
        <w:szCs w:val="16"/>
        <w:lang w:val="ru-RU" w:eastAsia="bg-BG"/>
      </w:rPr>
      <w:t>-407</w:t>
    </w:r>
    <w:r w:rsidRPr="00927CAA">
      <w:rPr>
        <w:rFonts w:eastAsia="Calibri"/>
        <w:color w:val="000000"/>
        <w:sz w:val="16"/>
        <w:szCs w:val="16"/>
        <w:lang w:eastAsia="bg-BG"/>
      </w:rPr>
      <w:t xml:space="preserve"> „Възстановяване на уникалното общо културно наследство и насърчаване на съвместния туристически продукт „</w:t>
    </w:r>
    <w:proofErr w:type="spellStart"/>
    <w:r w:rsidRPr="00927CAA">
      <w:rPr>
        <w:rFonts w:eastAsia="Calibri"/>
        <w:color w:val="000000"/>
        <w:sz w:val="16"/>
        <w:szCs w:val="16"/>
        <w:lang w:eastAsia="bg-BG"/>
      </w:rPr>
      <w:t>Хаманджия</w:t>
    </w:r>
    <w:proofErr w:type="spellEnd"/>
    <w:r w:rsidRPr="00927CAA">
      <w:rPr>
        <w:rFonts w:eastAsia="Calibri"/>
        <w:color w:val="000000"/>
        <w:sz w:val="16"/>
        <w:szCs w:val="16"/>
        <w:lang w:eastAsia="bg-BG"/>
      </w:rPr>
      <w:t xml:space="preserve"> – първа цивилизация на стара Европа“, който се осъществява с финансовата подкрепа на Програма за трансгранично сътрудничество ИНТЕРРЕГ V-A Румъния-България 2014-2020 г</w:t>
    </w:r>
    <w:r w:rsidRPr="00927CAA">
      <w:rPr>
        <w:rFonts w:eastAsia="Times New Roman"/>
        <w:sz w:val="16"/>
        <w:szCs w:val="16"/>
        <w:lang w:val="ru-RU" w:eastAsia="ar-SA"/>
      </w:rPr>
      <w:t xml:space="preserve">.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Цялата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отговорност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за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съдържанието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на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публикацията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се носи от Община </w:t>
    </w:r>
    <w:r w:rsidRPr="00927CAA">
      <w:rPr>
        <w:rFonts w:eastAsia="Times New Roman"/>
        <w:sz w:val="16"/>
        <w:szCs w:val="16"/>
        <w:lang w:eastAsia="ar-SA"/>
      </w:rPr>
      <w:t>Шабла</w:t>
    </w:r>
    <w:r w:rsidRPr="00927CAA">
      <w:rPr>
        <w:rFonts w:eastAsia="Times New Roman"/>
        <w:sz w:val="16"/>
        <w:szCs w:val="16"/>
        <w:lang w:val="ru-RU" w:eastAsia="ar-SA"/>
      </w:rPr>
      <w:t xml:space="preserve"> и при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никакви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обстоятелства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не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може</w:t>
    </w:r>
    <w:proofErr w:type="spellEnd"/>
    <w:proofErr w:type="gramEnd"/>
    <w:r w:rsidRPr="00927CAA">
      <w:rPr>
        <w:rFonts w:eastAsia="Times New Roman"/>
        <w:sz w:val="16"/>
        <w:szCs w:val="16"/>
        <w:lang w:val="ru-RU" w:eastAsia="ar-SA"/>
      </w:rPr>
      <w:t xml:space="preserve"> да се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счита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, че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този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документ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отразява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официалното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становище на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Европейския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съюз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и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Управляваюия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орган на ИНТЕРРЕГ </w:t>
    </w:r>
    <w:r w:rsidRPr="00927CAA">
      <w:rPr>
        <w:rFonts w:eastAsia="Times New Roman"/>
        <w:sz w:val="16"/>
        <w:szCs w:val="16"/>
        <w:lang w:val="en-GB" w:eastAsia="ar-SA"/>
      </w:rPr>
      <w:t>V</w:t>
    </w:r>
    <w:r w:rsidRPr="00927CAA">
      <w:rPr>
        <w:rFonts w:eastAsia="Times New Roman"/>
        <w:sz w:val="16"/>
        <w:szCs w:val="16"/>
        <w:lang w:val="ru-RU" w:eastAsia="ar-SA"/>
      </w:rPr>
      <w:t>-</w:t>
    </w:r>
    <w:r w:rsidRPr="00927CAA">
      <w:rPr>
        <w:rFonts w:eastAsia="Times New Roman"/>
        <w:sz w:val="16"/>
        <w:szCs w:val="16"/>
        <w:lang w:val="en-GB" w:eastAsia="ar-SA"/>
      </w:rPr>
      <w:t>A</w:t>
    </w:r>
    <w:r w:rsidRPr="00927CAA">
      <w:rPr>
        <w:rFonts w:eastAsia="Times New Roman"/>
        <w:sz w:val="16"/>
        <w:szCs w:val="16"/>
        <w:lang w:val="ru-RU" w:eastAsia="ar-SA"/>
      </w:rPr>
      <w:t xml:space="preserve"> </w:t>
    </w:r>
    <w:proofErr w:type="spellStart"/>
    <w:r w:rsidRPr="00927CAA">
      <w:rPr>
        <w:rFonts w:eastAsia="Times New Roman"/>
        <w:sz w:val="16"/>
        <w:szCs w:val="16"/>
        <w:lang w:val="ru-RU" w:eastAsia="ar-SA"/>
      </w:rPr>
      <w:t>Румъния-България</w:t>
    </w:r>
    <w:proofErr w:type="spellEnd"/>
    <w:r w:rsidRPr="00927CAA">
      <w:rPr>
        <w:rFonts w:eastAsia="Times New Roman"/>
        <w:sz w:val="16"/>
        <w:szCs w:val="16"/>
        <w:lang w:val="ru-RU" w:eastAsia="ar-SA"/>
      </w:rPr>
      <w:t xml:space="preserve"> 2014-2020 г.</w:t>
    </w:r>
    <w:r w:rsidRPr="00927CAA">
      <w:rPr>
        <w:rFonts w:ascii="Arial" w:eastAsia="Times New Roman" w:hAnsi="Arial"/>
        <w:noProof/>
        <w:sz w:val="16"/>
        <w:szCs w:val="20"/>
        <w:lang w:val="ru-RU" w:eastAsia="bg-BG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7C" w:rsidRDefault="0065007C" w:rsidP="00927CAA">
      <w:r>
        <w:separator/>
      </w:r>
    </w:p>
  </w:footnote>
  <w:footnote w:type="continuationSeparator" w:id="0">
    <w:p w:rsidR="0065007C" w:rsidRDefault="0065007C" w:rsidP="0092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AA" w:rsidRPr="00927CAA" w:rsidRDefault="00927CAA" w:rsidP="00927CAA">
    <w:pPr>
      <w:tabs>
        <w:tab w:val="center" w:pos="4153"/>
        <w:tab w:val="right" w:pos="8306"/>
      </w:tabs>
      <w:suppressAutoHyphens/>
      <w:spacing w:after="240"/>
      <w:ind w:left="-709"/>
      <w:jc w:val="center"/>
      <w:rPr>
        <w:rFonts w:ascii="Arial" w:eastAsia="Times New Roman" w:hAnsi="Arial"/>
        <w:sz w:val="20"/>
        <w:szCs w:val="20"/>
        <w:lang w:val="en-US" w:eastAsia="ar-SA"/>
      </w:rPr>
    </w:pPr>
    <w:r>
      <w:rPr>
        <w:rFonts w:ascii="Arial" w:eastAsia="Times New Roman" w:hAnsi="Arial"/>
        <w:noProof/>
        <w:sz w:val="20"/>
        <w:szCs w:val="20"/>
        <w:lang w:eastAsia="bg-BG"/>
      </w:rPr>
      <w:drawing>
        <wp:inline distT="0" distB="0" distL="0" distR="0">
          <wp:extent cx="2011680" cy="421640"/>
          <wp:effectExtent l="0" t="0" r="762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CAA">
      <w:rPr>
        <w:rFonts w:ascii="Arial" w:eastAsia="Times New Roman" w:hAnsi="Arial"/>
        <w:sz w:val="20"/>
        <w:szCs w:val="20"/>
        <w:lang w:eastAsia="ar-SA"/>
      </w:rPr>
      <w:t xml:space="preserve">       </w:t>
    </w:r>
    <w:r w:rsidRPr="00927CAA">
      <w:rPr>
        <w:rFonts w:ascii="Arial" w:eastAsia="Times New Roman" w:hAnsi="Arial"/>
        <w:noProof/>
        <w:sz w:val="20"/>
        <w:szCs w:val="20"/>
        <w:lang w:eastAsia="ar-SA"/>
      </w:rPr>
      <w:t xml:space="preserve"> </w:t>
    </w:r>
    <w:r w:rsidRPr="00927CAA">
      <w:rPr>
        <w:rFonts w:ascii="Arial" w:eastAsia="Times New Roman" w:hAnsi="Arial"/>
        <w:sz w:val="20"/>
        <w:szCs w:val="20"/>
        <w:lang w:eastAsia="ar-SA"/>
      </w:rPr>
      <w:t xml:space="preserve">                 </w:t>
    </w:r>
    <w:r>
      <w:rPr>
        <w:rFonts w:ascii="Arial" w:eastAsia="Times New Roman" w:hAnsi="Arial"/>
        <w:noProof/>
        <w:sz w:val="20"/>
        <w:szCs w:val="20"/>
        <w:lang w:eastAsia="bg-BG"/>
      </w:rPr>
      <w:drawing>
        <wp:inline distT="0" distB="0" distL="0" distR="0">
          <wp:extent cx="882650" cy="850900"/>
          <wp:effectExtent l="0" t="0" r="0" b="635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CAA">
      <w:rPr>
        <w:rFonts w:ascii="Arial" w:eastAsia="Times New Roman" w:hAnsi="Arial"/>
        <w:sz w:val="20"/>
        <w:szCs w:val="20"/>
        <w:lang w:eastAsia="ar-SA"/>
      </w:rPr>
      <w:t xml:space="preserve">                                   </w:t>
    </w:r>
    <w:r>
      <w:rPr>
        <w:rFonts w:ascii="Arial" w:eastAsia="Times New Roman" w:hAnsi="Arial"/>
        <w:noProof/>
        <w:sz w:val="20"/>
        <w:szCs w:val="20"/>
        <w:lang w:eastAsia="bg-BG"/>
      </w:rPr>
      <w:drawing>
        <wp:inline distT="0" distB="0" distL="0" distR="0">
          <wp:extent cx="1105535" cy="7632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CAA" w:rsidRDefault="00927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31"/>
    <w:multiLevelType w:val="hybridMultilevel"/>
    <w:tmpl w:val="405A337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018C4"/>
    <w:multiLevelType w:val="hybridMultilevel"/>
    <w:tmpl w:val="A134BC68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941365"/>
    <w:multiLevelType w:val="hybridMultilevel"/>
    <w:tmpl w:val="574211F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1EFFA4">
      <w:numFmt w:val="bullet"/>
      <w:lvlText w:val="•"/>
      <w:lvlJc w:val="left"/>
      <w:pPr>
        <w:ind w:left="1485" w:hanging="765"/>
      </w:pPr>
      <w:rPr>
        <w:rFonts w:ascii="Times New Roman" w:eastAsia="Batang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731D1"/>
    <w:multiLevelType w:val="hybridMultilevel"/>
    <w:tmpl w:val="B550340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D03ABD"/>
    <w:multiLevelType w:val="hybridMultilevel"/>
    <w:tmpl w:val="4D3C4E28"/>
    <w:lvl w:ilvl="0" w:tplc="0402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78D2"/>
    <w:multiLevelType w:val="hybridMultilevel"/>
    <w:tmpl w:val="6B18147C"/>
    <w:lvl w:ilvl="0" w:tplc="1B68AB8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0F4E0A"/>
    <w:multiLevelType w:val="hybridMultilevel"/>
    <w:tmpl w:val="18AE4AC4"/>
    <w:lvl w:ilvl="0" w:tplc="04020013">
      <w:start w:val="1"/>
      <w:numFmt w:val="upperRoman"/>
      <w:lvlText w:val="%1."/>
      <w:lvlJc w:val="right"/>
      <w:pPr>
        <w:ind w:left="2520" w:hanging="360"/>
      </w:pPr>
    </w:lvl>
    <w:lvl w:ilvl="1" w:tplc="04020019">
      <w:start w:val="1"/>
      <w:numFmt w:val="lowerLetter"/>
      <w:lvlText w:val="%2."/>
      <w:lvlJc w:val="left"/>
      <w:pPr>
        <w:ind w:left="3240" w:hanging="360"/>
      </w:pPr>
    </w:lvl>
    <w:lvl w:ilvl="2" w:tplc="0402001B">
      <w:start w:val="1"/>
      <w:numFmt w:val="lowerRoman"/>
      <w:lvlText w:val="%3."/>
      <w:lvlJc w:val="right"/>
      <w:pPr>
        <w:ind w:left="3960" w:hanging="180"/>
      </w:pPr>
    </w:lvl>
    <w:lvl w:ilvl="3" w:tplc="0402000F">
      <w:start w:val="1"/>
      <w:numFmt w:val="decimal"/>
      <w:lvlText w:val="%4."/>
      <w:lvlJc w:val="left"/>
      <w:pPr>
        <w:ind w:left="4680" w:hanging="360"/>
      </w:pPr>
    </w:lvl>
    <w:lvl w:ilvl="4" w:tplc="04020019">
      <w:start w:val="1"/>
      <w:numFmt w:val="lowerLetter"/>
      <w:lvlText w:val="%5."/>
      <w:lvlJc w:val="left"/>
      <w:pPr>
        <w:ind w:left="5400" w:hanging="360"/>
      </w:pPr>
    </w:lvl>
    <w:lvl w:ilvl="5" w:tplc="0402001B">
      <w:start w:val="1"/>
      <w:numFmt w:val="lowerRoman"/>
      <w:lvlText w:val="%6."/>
      <w:lvlJc w:val="right"/>
      <w:pPr>
        <w:ind w:left="6120" w:hanging="180"/>
      </w:pPr>
    </w:lvl>
    <w:lvl w:ilvl="6" w:tplc="0402000F">
      <w:start w:val="1"/>
      <w:numFmt w:val="decimal"/>
      <w:lvlText w:val="%7."/>
      <w:lvlJc w:val="left"/>
      <w:pPr>
        <w:ind w:left="6840" w:hanging="360"/>
      </w:pPr>
    </w:lvl>
    <w:lvl w:ilvl="7" w:tplc="04020019">
      <w:start w:val="1"/>
      <w:numFmt w:val="lowerLetter"/>
      <w:lvlText w:val="%8."/>
      <w:lvlJc w:val="left"/>
      <w:pPr>
        <w:ind w:left="7560" w:hanging="360"/>
      </w:pPr>
    </w:lvl>
    <w:lvl w:ilvl="8" w:tplc="0402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95A1A7D"/>
    <w:multiLevelType w:val="hybridMultilevel"/>
    <w:tmpl w:val="D2DAA91C"/>
    <w:lvl w:ilvl="0" w:tplc="38D4975E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5F38"/>
    <w:multiLevelType w:val="hybridMultilevel"/>
    <w:tmpl w:val="FE78D8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935142"/>
    <w:multiLevelType w:val="hybridMultilevel"/>
    <w:tmpl w:val="964C8F54"/>
    <w:lvl w:ilvl="0" w:tplc="DB74A2A8">
      <w:start w:val="1"/>
      <w:numFmt w:val="decimal"/>
      <w:lvlText w:val="%1."/>
      <w:lvlJc w:val="left"/>
      <w:pPr>
        <w:ind w:left="1068" w:hanging="360"/>
      </w:pPr>
      <w:rPr>
        <w:rFonts w:eastAsia="Batang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lvl w:ilvl="0" w:tplc="1B68AB84">
        <w:start w:val="1"/>
        <w:numFmt w:val="decimal"/>
        <w:lvlText w:val="5.%1."/>
        <w:lvlJc w:val="left"/>
        <w:pPr>
          <w:ind w:left="1429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020019">
        <w:start w:val="1"/>
        <w:numFmt w:val="lowerLetter"/>
        <w:lvlText w:val="%2."/>
        <w:lvlJc w:val="left"/>
        <w:pPr>
          <w:ind w:left="2149" w:hanging="360"/>
        </w:pPr>
      </w:lvl>
    </w:lvlOverride>
    <w:lvlOverride w:ilvl="2">
      <w:lvl w:ilvl="2" w:tplc="0402001B">
        <w:start w:val="1"/>
        <w:numFmt w:val="lowerRoman"/>
        <w:lvlText w:val="%3."/>
        <w:lvlJc w:val="right"/>
        <w:pPr>
          <w:ind w:left="2869" w:hanging="180"/>
        </w:pPr>
      </w:lvl>
    </w:lvlOverride>
    <w:lvlOverride w:ilvl="3">
      <w:lvl w:ilvl="3" w:tplc="0402000F">
        <w:start w:val="1"/>
        <w:numFmt w:val="decimal"/>
        <w:lvlText w:val="%4."/>
        <w:lvlJc w:val="left"/>
        <w:pPr>
          <w:ind w:left="3589" w:hanging="360"/>
        </w:pPr>
      </w:lvl>
    </w:lvlOverride>
    <w:lvlOverride w:ilvl="4">
      <w:lvl w:ilvl="4" w:tplc="04020019">
        <w:start w:val="1"/>
        <w:numFmt w:val="lowerLetter"/>
        <w:lvlText w:val="%5."/>
        <w:lvlJc w:val="left"/>
        <w:pPr>
          <w:ind w:left="4309" w:hanging="360"/>
        </w:pPr>
      </w:lvl>
    </w:lvlOverride>
    <w:lvlOverride w:ilvl="5">
      <w:lvl w:ilvl="5" w:tplc="0402001B">
        <w:start w:val="1"/>
        <w:numFmt w:val="lowerRoman"/>
        <w:lvlText w:val="%6."/>
        <w:lvlJc w:val="right"/>
        <w:pPr>
          <w:ind w:left="5029" w:hanging="180"/>
        </w:pPr>
      </w:lvl>
    </w:lvlOverride>
    <w:lvlOverride w:ilvl="6">
      <w:lvl w:ilvl="6" w:tplc="0402000F">
        <w:start w:val="1"/>
        <w:numFmt w:val="decimal"/>
        <w:lvlText w:val="%7."/>
        <w:lvlJc w:val="left"/>
        <w:pPr>
          <w:ind w:left="5749" w:hanging="360"/>
        </w:pPr>
      </w:lvl>
    </w:lvlOverride>
    <w:lvlOverride w:ilvl="7">
      <w:lvl w:ilvl="7" w:tplc="04020019">
        <w:start w:val="1"/>
        <w:numFmt w:val="lowerLetter"/>
        <w:lvlText w:val="%8."/>
        <w:lvlJc w:val="left"/>
        <w:pPr>
          <w:ind w:left="6469" w:hanging="360"/>
        </w:pPr>
      </w:lvl>
    </w:lvlOverride>
    <w:lvlOverride w:ilvl="8">
      <w:lvl w:ilvl="8" w:tplc="0402001B">
        <w:start w:val="1"/>
        <w:numFmt w:val="lowerRoman"/>
        <w:lvlText w:val="%9."/>
        <w:lvlJc w:val="right"/>
        <w:pPr>
          <w:ind w:left="7189" w:hanging="180"/>
        </w:pPr>
      </w:lvl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55"/>
    <w:rsid w:val="000657D1"/>
    <w:rsid w:val="000F50AC"/>
    <w:rsid w:val="00105282"/>
    <w:rsid w:val="00213122"/>
    <w:rsid w:val="00245E5D"/>
    <w:rsid w:val="00346C51"/>
    <w:rsid w:val="00417D04"/>
    <w:rsid w:val="004E70D8"/>
    <w:rsid w:val="00500C55"/>
    <w:rsid w:val="0052588E"/>
    <w:rsid w:val="006073D6"/>
    <w:rsid w:val="00621262"/>
    <w:rsid w:val="006437C1"/>
    <w:rsid w:val="0065007C"/>
    <w:rsid w:val="006910E9"/>
    <w:rsid w:val="00703D18"/>
    <w:rsid w:val="0072494B"/>
    <w:rsid w:val="007261CB"/>
    <w:rsid w:val="00851E91"/>
    <w:rsid w:val="00912F14"/>
    <w:rsid w:val="00927CAA"/>
    <w:rsid w:val="009612F4"/>
    <w:rsid w:val="00996860"/>
    <w:rsid w:val="00A40979"/>
    <w:rsid w:val="00A66680"/>
    <w:rsid w:val="00B025C4"/>
    <w:rsid w:val="00BC78BE"/>
    <w:rsid w:val="00BE6C28"/>
    <w:rsid w:val="00C25EAC"/>
    <w:rsid w:val="00C33694"/>
    <w:rsid w:val="00C6574C"/>
    <w:rsid w:val="00C874D0"/>
    <w:rsid w:val="00D43011"/>
    <w:rsid w:val="00D93E5C"/>
    <w:rsid w:val="00DF75A0"/>
    <w:rsid w:val="00E96469"/>
    <w:rsid w:val="00EF67A6"/>
    <w:rsid w:val="00F1466F"/>
    <w:rsid w:val="00F33863"/>
    <w:rsid w:val="00F57025"/>
    <w:rsid w:val="00FF326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5"/>
    <w:pPr>
      <w:jc w:val="left"/>
    </w:pPr>
    <w:rPr>
      <w:rFonts w:ascii="Times New Roman" w:eastAsia="Batang" w:hAnsi="Times New Roman" w:cs="Times New Roman"/>
      <w:sz w:val="24"/>
      <w:szCs w:val="24"/>
    </w:rPr>
  </w:style>
  <w:style w:type="paragraph" w:styleId="3">
    <w:name w:val="heading 3"/>
    <w:aliases w:val="ЗАГЛАВИЕ 3"/>
    <w:basedOn w:val="a"/>
    <w:next w:val="a"/>
    <w:link w:val="30"/>
    <w:uiPriority w:val="9"/>
    <w:qFormat/>
    <w:rsid w:val="00500C55"/>
    <w:pPr>
      <w:keepNext/>
      <w:keepLines/>
      <w:spacing w:before="200"/>
      <w:outlineLvl w:val="2"/>
    </w:pPr>
    <w:rPr>
      <w:rFonts w:ascii="Cambria" w:eastAsia="MS Gothic" w:hAnsi="Cambria"/>
      <w:b/>
      <w:color w:val="4F81BD"/>
      <w:szCs w:val="20"/>
      <w:lang w:val="x-none" w:eastAsia="x-none"/>
    </w:rPr>
  </w:style>
  <w:style w:type="paragraph" w:styleId="4">
    <w:name w:val="heading 4"/>
    <w:aliases w:val="ЗАГЛАВИЕ 4"/>
    <w:basedOn w:val="a"/>
    <w:next w:val="a"/>
    <w:link w:val="40"/>
    <w:uiPriority w:val="9"/>
    <w:qFormat/>
    <w:rsid w:val="00500C55"/>
    <w:pPr>
      <w:keepNext/>
      <w:keepLines/>
      <w:spacing w:before="200"/>
      <w:outlineLvl w:val="3"/>
    </w:pPr>
    <w:rPr>
      <w:rFonts w:ascii="Cambria" w:eastAsia="MS Gothic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00C55"/>
    <w:pPr>
      <w:keepNext/>
      <w:keepLines/>
      <w:spacing w:before="200"/>
      <w:outlineLvl w:val="4"/>
    </w:pPr>
    <w:rPr>
      <w:rFonts w:ascii="Cambria" w:eastAsia="MS Gothic" w:hAnsi="Cambria"/>
      <w:color w:val="243F6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aliases w:val="ЗАГЛАВИЕ 3 Знак"/>
    <w:basedOn w:val="a0"/>
    <w:link w:val="3"/>
    <w:uiPriority w:val="9"/>
    <w:rsid w:val="00500C55"/>
    <w:rPr>
      <w:rFonts w:ascii="Cambria" w:eastAsia="MS Gothic" w:hAnsi="Cambria" w:cs="Times New Roman"/>
      <w:b/>
      <w:color w:val="4F81BD"/>
      <w:sz w:val="24"/>
      <w:szCs w:val="20"/>
      <w:lang w:val="x-none" w:eastAsia="x-none"/>
    </w:rPr>
  </w:style>
  <w:style w:type="character" w:customStyle="1" w:styleId="40">
    <w:name w:val="Заглавие 4 Знак"/>
    <w:aliases w:val="ЗАГЛАВИЕ 4 Знак"/>
    <w:basedOn w:val="a0"/>
    <w:link w:val="4"/>
    <w:uiPriority w:val="9"/>
    <w:rsid w:val="00500C55"/>
    <w:rPr>
      <w:rFonts w:ascii="Cambria" w:eastAsia="MS Gothic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лавие 5 Знак"/>
    <w:basedOn w:val="a0"/>
    <w:link w:val="5"/>
    <w:uiPriority w:val="9"/>
    <w:rsid w:val="00500C55"/>
    <w:rPr>
      <w:rFonts w:ascii="Cambria" w:eastAsia="MS Gothic" w:hAnsi="Cambria" w:cs="Times New Roman"/>
      <w:color w:val="243F60"/>
      <w:sz w:val="24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500C55"/>
    <w:pPr>
      <w:widowControl w:val="0"/>
      <w:autoSpaceDE w:val="0"/>
      <w:autoSpaceDN w:val="0"/>
      <w:adjustRightInd w:val="0"/>
      <w:spacing w:line="252" w:lineRule="exact"/>
      <w:ind w:firstLine="709"/>
      <w:jc w:val="both"/>
    </w:pPr>
    <w:rPr>
      <w:rFonts w:ascii="Arial" w:hAnsi="Arial" w:cs="Arial"/>
      <w:lang w:eastAsia="bg-BG"/>
    </w:rPr>
  </w:style>
  <w:style w:type="paragraph" w:customStyle="1" w:styleId="Style15">
    <w:name w:val="Style15"/>
    <w:basedOn w:val="a"/>
    <w:uiPriority w:val="99"/>
    <w:rsid w:val="00500C55"/>
    <w:pPr>
      <w:widowControl w:val="0"/>
      <w:autoSpaceDE w:val="0"/>
      <w:autoSpaceDN w:val="0"/>
      <w:adjustRightInd w:val="0"/>
      <w:spacing w:line="254" w:lineRule="exact"/>
      <w:ind w:firstLine="355"/>
      <w:jc w:val="both"/>
    </w:pPr>
    <w:rPr>
      <w:rFonts w:ascii="Arial" w:hAnsi="Arial" w:cs="Arial"/>
      <w:lang w:eastAsia="bg-BG"/>
    </w:rPr>
  </w:style>
  <w:style w:type="paragraph" w:styleId="a3">
    <w:name w:val="Body Text Indent"/>
    <w:basedOn w:val="a"/>
    <w:link w:val="a4"/>
    <w:uiPriority w:val="99"/>
    <w:rsid w:val="00500C55"/>
    <w:pPr>
      <w:spacing w:after="120"/>
      <w:ind w:left="283" w:firstLine="709"/>
      <w:jc w:val="both"/>
    </w:pPr>
    <w:rPr>
      <w:rFonts w:ascii="Cambria" w:hAnsi="Cambria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500C55"/>
    <w:rPr>
      <w:rFonts w:ascii="Cambria" w:eastAsia="Batang" w:hAnsi="Cambria" w:cs="Times New Roman"/>
      <w:sz w:val="24"/>
      <w:szCs w:val="20"/>
      <w:lang w:val="x-none" w:eastAsia="x-none"/>
    </w:rPr>
  </w:style>
  <w:style w:type="character" w:styleId="a5">
    <w:name w:val="Strong"/>
    <w:uiPriority w:val="99"/>
    <w:qFormat/>
    <w:rsid w:val="00500C55"/>
    <w:rPr>
      <w:b/>
      <w:bCs/>
    </w:rPr>
  </w:style>
  <w:style w:type="paragraph" w:styleId="a6">
    <w:name w:val="List Paragraph"/>
    <w:basedOn w:val="a"/>
    <w:qFormat/>
    <w:rsid w:val="00500C55"/>
    <w:pPr>
      <w:spacing w:before="120"/>
      <w:ind w:left="720" w:firstLine="567"/>
      <w:contextualSpacing/>
      <w:jc w:val="both"/>
    </w:pPr>
    <w:rPr>
      <w:rFonts w:ascii="Arial Narrow" w:eastAsia="Calibri" w:hAnsi="Arial Narrow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7CA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927CAA"/>
    <w:rPr>
      <w:rFonts w:ascii="Times New Roman" w:eastAsia="Batang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7CA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27CAA"/>
    <w:rPr>
      <w:rFonts w:ascii="Times New Roman" w:eastAsia="Batang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7CA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27CA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5"/>
    <w:pPr>
      <w:jc w:val="left"/>
    </w:pPr>
    <w:rPr>
      <w:rFonts w:ascii="Times New Roman" w:eastAsia="Batang" w:hAnsi="Times New Roman" w:cs="Times New Roman"/>
      <w:sz w:val="24"/>
      <w:szCs w:val="24"/>
    </w:rPr>
  </w:style>
  <w:style w:type="paragraph" w:styleId="3">
    <w:name w:val="heading 3"/>
    <w:aliases w:val="ЗАГЛАВИЕ 3"/>
    <w:basedOn w:val="a"/>
    <w:next w:val="a"/>
    <w:link w:val="30"/>
    <w:uiPriority w:val="9"/>
    <w:qFormat/>
    <w:rsid w:val="00500C55"/>
    <w:pPr>
      <w:keepNext/>
      <w:keepLines/>
      <w:spacing w:before="200"/>
      <w:outlineLvl w:val="2"/>
    </w:pPr>
    <w:rPr>
      <w:rFonts w:ascii="Cambria" w:eastAsia="MS Gothic" w:hAnsi="Cambria"/>
      <w:b/>
      <w:color w:val="4F81BD"/>
      <w:szCs w:val="20"/>
      <w:lang w:val="x-none" w:eastAsia="x-none"/>
    </w:rPr>
  </w:style>
  <w:style w:type="paragraph" w:styleId="4">
    <w:name w:val="heading 4"/>
    <w:aliases w:val="ЗАГЛАВИЕ 4"/>
    <w:basedOn w:val="a"/>
    <w:next w:val="a"/>
    <w:link w:val="40"/>
    <w:uiPriority w:val="9"/>
    <w:qFormat/>
    <w:rsid w:val="00500C55"/>
    <w:pPr>
      <w:keepNext/>
      <w:keepLines/>
      <w:spacing w:before="200"/>
      <w:outlineLvl w:val="3"/>
    </w:pPr>
    <w:rPr>
      <w:rFonts w:ascii="Cambria" w:eastAsia="MS Gothic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00C55"/>
    <w:pPr>
      <w:keepNext/>
      <w:keepLines/>
      <w:spacing w:before="200"/>
      <w:outlineLvl w:val="4"/>
    </w:pPr>
    <w:rPr>
      <w:rFonts w:ascii="Cambria" w:eastAsia="MS Gothic" w:hAnsi="Cambria"/>
      <w:color w:val="243F6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aliases w:val="ЗАГЛАВИЕ 3 Знак"/>
    <w:basedOn w:val="a0"/>
    <w:link w:val="3"/>
    <w:uiPriority w:val="9"/>
    <w:rsid w:val="00500C55"/>
    <w:rPr>
      <w:rFonts w:ascii="Cambria" w:eastAsia="MS Gothic" w:hAnsi="Cambria" w:cs="Times New Roman"/>
      <w:b/>
      <w:color w:val="4F81BD"/>
      <w:sz w:val="24"/>
      <w:szCs w:val="20"/>
      <w:lang w:val="x-none" w:eastAsia="x-none"/>
    </w:rPr>
  </w:style>
  <w:style w:type="character" w:customStyle="1" w:styleId="40">
    <w:name w:val="Заглавие 4 Знак"/>
    <w:aliases w:val="ЗАГЛАВИЕ 4 Знак"/>
    <w:basedOn w:val="a0"/>
    <w:link w:val="4"/>
    <w:uiPriority w:val="9"/>
    <w:rsid w:val="00500C55"/>
    <w:rPr>
      <w:rFonts w:ascii="Cambria" w:eastAsia="MS Gothic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лавие 5 Знак"/>
    <w:basedOn w:val="a0"/>
    <w:link w:val="5"/>
    <w:uiPriority w:val="9"/>
    <w:rsid w:val="00500C55"/>
    <w:rPr>
      <w:rFonts w:ascii="Cambria" w:eastAsia="MS Gothic" w:hAnsi="Cambria" w:cs="Times New Roman"/>
      <w:color w:val="243F60"/>
      <w:sz w:val="24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500C55"/>
    <w:pPr>
      <w:widowControl w:val="0"/>
      <w:autoSpaceDE w:val="0"/>
      <w:autoSpaceDN w:val="0"/>
      <w:adjustRightInd w:val="0"/>
      <w:spacing w:line="252" w:lineRule="exact"/>
      <w:ind w:firstLine="709"/>
      <w:jc w:val="both"/>
    </w:pPr>
    <w:rPr>
      <w:rFonts w:ascii="Arial" w:hAnsi="Arial" w:cs="Arial"/>
      <w:lang w:eastAsia="bg-BG"/>
    </w:rPr>
  </w:style>
  <w:style w:type="paragraph" w:customStyle="1" w:styleId="Style15">
    <w:name w:val="Style15"/>
    <w:basedOn w:val="a"/>
    <w:uiPriority w:val="99"/>
    <w:rsid w:val="00500C55"/>
    <w:pPr>
      <w:widowControl w:val="0"/>
      <w:autoSpaceDE w:val="0"/>
      <w:autoSpaceDN w:val="0"/>
      <w:adjustRightInd w:val="0"/>
      <w:spacing w:line="254" w:lineRule="exact"/>
      <w:ind w:firstLine="355"/>
      <w:jc w:val="both"/>
    </w:pPr>
    <w:rPr>
      <w:rFonts w:ascii="Arial" w:hAnsi="Arial" w:cs="Arial"/>
      <w:lang w:eastAsia="bg-BG"/>
    </w:rPr>
  </w:style>
  <w:style w:type="paragraph" w:styleId="a3">
    <w:name w:val="Body Text Indent"/>
    <w:basedOn w:val="a"/>
    <w:link w:val="a4"/>
    <w:uiPriority w:val="99"/>
    <w:rsid w:val="00500C55"/>
    <w:pPr>
      <w:spacing w:after="120"/>
      <w:ind w:left="283" w:firstLine="709"/>
      <w:jc w:val="both"/>
    </w:pPr>
    <w:rPr>
      <w:rFonts w:ascii="Cambria" w:hAnsi="Cambria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500C55"/>
    <w:rPr>
      <w:rFonts w:ascii="Cambria" w:eastAsia="Batang" w:hAnsi="Cambria" w:cs="Times New Roman"/>
      <w:sz w:val="24"/>
      <w:szCs w:val="20"/>
      <w:lang w:val="x-none" w:eastAsia="x-none"/>
    </w:rPr>
  </w:style>
  <w:style w:type="character" w:styleId="a5">
    <w:name w:val="Strong"/>
    <w:uiPriority w:val="99"/>
    <w:qFormat/>
    <w:rsid w:val="00500C55"/>
    <w:rPr>
      <w:b/>
      <w:bCs/>
    </w:rPr>
  </w:style>
  <w:style w:type="paragraph" w:styleId="a6">
    <w:name w:val="List Paragraph"/>
    <w:basedOn w:val="a"/>
    <w:qFormat/>
    <w:rsid w:val="00500C55"/>
    <w:pPr>
      <w:spacing w:before="120"/>
      <w:ind w:left="720" w:firstLine="567"/>
      <w:contextualSpacing/>
      <w:jc w:val="both"/>
    </w:pPr>
    <w:rPr>
      <w:rFonts w:ascii="Arial Narrow" w:eastAsia="Calibri" w:hAnsi="Arial Narrow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7CA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927CAA"/>
    <w:rPr>
      <w:rFonts w:ascii="Times New Roman" w:eastAsia="Batang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7CA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27CAA"/>
    <w:rPr>
      <w:rFonts w:ascii="Times New Roman" w:eastAsia="Batang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7CA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27CA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7FE5-3BBB-40A1-87AB-CAC33EF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Atanasov</cp:lastModifiedBy>
  <cp:revision>9</cp:revision>
  <dcterms:created xsi:type="dcterms:W3CDTF">2019-02-20T14:13:00Z</dcterms:created>
  <dcterms:modified xsi:type="dcterms:W3CDTF">2019-02-27T14:36:00Z</dcterms:modified>
</cp:coreProperties>
</file>